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997E" w14:textId="77777777" w:rsidR="00CD524A" w:rsidRPr="00A81125" w:rsidRDefault="00CD524A" w:rsidP="00CD524A">
      <w:pPr>
        <w:spacing w:before="0" w:after="0" w:afterAutospacing="0" w:line="240" w:lineRule="auto"/>
        <w:jc w:val="both"/>
        <w:rPr>
          <w:rFonts w:cs="Arial"/>
          <w:b/>
        </w:rPr>
      </w:pPr>
      <w:r w:rsidRPr="00A81125">
        <w:rPr>
          <w:rFonts w:cs="Arial"/>
          <w:b/>
        </w:rPr>
        <w:t>EQUIPMENT</w:t>
      </w:r>
    </w:p>
    <w:p w14:paraId="672A6659" w14:textId="77777777" w:rsidR="00CD524A" w:rsidRPr="00A81125" w:rsidRDefault="00CD524A" w:rsidP="00CD524A">
      <w:pPr>
        <w:spacing w:before="0" w:after="0" w:afterAutospacing="0" w:line="240" w:lineRule="auto"/>
        <w:jc w:val="both"/>
        <w:rPr>
          <w:rFonts w:cs="Arial"/>
        </w:rPr>
      </w:pPr>
    </w:p>
    <w:p w14:paraId="49FED025" w14:textId="77777777" w:rsidR="00CD524A" w:rsidRPr="00A81125" w:rsidRDefault="00CD524A" w:rsidP="00CD524A">
      <w:pPr>
        <w:autoSpaceDE w:val="0"/>
        <w:autoSpaceDN w:val="0"/>
        <w:adjustRightInd w:val="0"/>
        <w:spacing w:before="0" w:after="0" w:afterAutospacing="0" w:line="240" w:lineRule="auto"/>
        <w:jc w:val="both"/>
        <w:rPr>
          <w:rFonts w:cs="Arial"/>
          <w:b/>
        </w:rPr>
      </w:pPr>
      <w:r w:rsidRPr="00A81125">
        <w:rPr>
          <w:rFonts w:cs="Arial"/>
          <w:b/>
        </w:rPr>
        <w:t>Huck Institute</w:t>
      </w:r>
      <w:r w:rsidR="00E855E9">
        <w:rPr>
          <w:rFonts w:cs="Arial"/>
          <w:b/>
        </w:rPr>
        <w:t>s of the Life Sciences</w:t>
      </w:r>
      <w:r w:rsidRPr="00A81125">
        <w:rPr>
          <w:rFonts w:cs="Arial"/>
          <w:b/>
        </w:rPr>
        <w:t xml:space="preserve"> Shared Technology Facilities</w:t>
      </w:r>
      <w:r>
        <w:rPr>
          <w:rFonts w:cs="Arial"/>
          <w:b/>
        </w:rPr>
        <w:t xml:space="preserve"> (University Park)</w:t>
      </w:r>
    </w:p>
    <w:p w14:paraId="0A37501D" w14:textId="77777777" w:rsidR="00CD524A" w:rsidRPr="00A81125" w:rsidRDefault="00CD524A" w:rsidP="00CD524A">
      <w:pPr>
        <w:autoSpaceDE w:val="0"/>
        <w:autoSpaceDN w:val="0"/>
        <w:adjustRightInd w:val="0"/>
        <w:spacing w:before="0" w:after="0" w:afterAutospacing="0" w:line="240" w:lineRule="auto"/>
        <w:jc w:val="both"/>
        <w:rPr>
          <w:rFonts w:cs="Arial"/>
        </w:rPr>
      </w:pPr>
    </w:p>
    <w:p w14:paraId="00280FF3" w14:textId="022A6607" w:rsidR="00CD524A" w:rsidRDefault="00CD524A" w:rsidP="00CD524A">
      <w:pPr>
        <w:autoSpaceDE w:val="0"/>
        <w:autoSpaceDN w:val="0"/>
        <w:adjustRightInd w:val="0"/>
        <w:spacing w:before="0" w:after="0" w:afterAutospacing="0" w:line="240" w:lineRule="auto"/>
        <w:jc w:val="both"/>
        <w:rPr>
          <w:rFonts w:cs="Arial"/>
        </w:rPr>
      </w:pPr>
      <w:r w:rsidRPr="00A81125">
        <w:rPr>
          <w:rFonts w:cs="Arial"/>
          <w:b/>
        </w:rPr>
        <w:t>Genomics:</w:t>
      </w:r>
      <w:r>
        <w:rPr>
          <w:rFonts w:cs="Arial"/>
          <w:b/>
        </w:rPr>
        <w:t xml:space="preserve"> </w:t>
      </w:r>
      <w:r w:rsidRPr="00A81125">
        <w:rPr>
          <w:rFonts w:cs="Arial"/>
        </w:rPr>
        <w:t xml:space="preserve"> </w:t>
      </w:r>
      <w:r w:rsidRPr="009F0C0D">
        <w:t>Offers next generation sequencing and expression analysis, traditional Sanger sequencing, genotyping assay</w:t>
      </w:r>
      <w:r w:rsidR="00564A75">
        <w:t>s</w:t>
      </w:r>
      <w:r w:rsidRPr="009F0C0D">
        <w:t xml:space="preserve">. The Genomics Core also performs microarray analysis for model organisms utilizing the Affymetrix </w:t>
      </w:r>
      <w:proofErr w:type="spellStart"/>
      <w:r w:rsidRPr="009F0C0D">
        <w:t>GeneChip</w:t>
      </w:r>
      <w:proofErr w:type="spellEnd"/>
      <w:r w:rsidRPr="009F0C0D">
        <w:t xml:space="preserve"> System and for applications requiring custom arrays, the </w:t>
      </w:r>
      <w:r>
        <w:t xml:space="preserve">Agilent </w:t>
      </w:r>
      <w:r w:rsidRPr="009F0C0D">
        <w:t>platform. Instrumentation includes</w:t>
      </w:r>
      <w:r>
        <w:t xml:space="preserve">: Illumina </w:t>
      </w:r>
      <w:proofErr w:type="spellStart"/>
      <w:r>
        <w:t>HiSeq</w:t>
      </w:r>
      <w:proofErr w:type="spellEnd"/>
      <w:r>
        <w:t xml:space="preserve"> 2500 </w:t>
      </w:r>
      <w:r w:rsidR="00A02937">
        <w:t>(NSF-MRI award, Axtell et al 2012</w:t>
      </w:r>
      <w:r w:rsidR="00761A4B">
        <w:t>, DBI-122906</w:t>
      </w:r>
      <w:r w:rsidR="00A02937">
        <w:t>)</w:t>
      </w:r>
      <w:r w:rsidR="00564A75">
        <w:t xml:space="preserve">, Illumina </w:t>
      </w:r>
      <w:proofErr w:type="spellStart"/>
      <w:r w:rsidR="00564A75">
        <w:t>NextSeq</w:t>
      </w:r>
      <w:proofErr w:type="spellEnd"/>
      <w:r w:rsidR="00A02937">
        <w:t xml:space="preserve"> </w:t>
      </w:r>
      <w:r>
        <w:t xml:space="preserve">and Illumina </w:t>
      </w:r>
      <w:proofErr w:type="spellStart"/>
      <w:r>
        <w:t>MiSeq</w:t>
      </w:r>
      <w:proofErr w:type="spellEnd"/>
      <w:r>
        <w:t xml:space="preserve"> platforms, </w:t>
      </w:r>
      <w:r w:rsidR="00A02937">
        <w:t>Pacific Biosciences Sequel system</w:t>
      </w:r>
      <w:r w:rsidRPr="009F0C0D">
        <w:t xml:space="preserve">, ABI Hitachi 3730XL DNA Analyzer (x2), ABI 7300 Sequence Detection System, </w:t>
      </w:r>
      <w:r w:rsidR="00E42699">
        <w:t xml:space="preserve">10X Genomics Chromium, </w:t>
      </w:r>
      <w:r w:rsidR="00157422">
        <w:t xml:space="preserve">ABI 7900HT, </w:t>
      </w:r>
      <w:proofErr w:type="spellStart"/>
      <w:r w:rsidR="00A915F0">
        <w:t>Nanostring</w:t>
      </w:r>
      <w:proofErr w:type="spellEnd"/>
      <w:r w:rsidR="00A915F0">
        <w:t xml:space="preserve"> </w:t>
      </w:r>
      <w:proofErr w:type="spellStart"/>
      <w:r w:rsidR="00A915F0">
        <w:t>nCounter</w:t>
      </w:r>
      <w:proofErr w:type="spellEnd"/>
      <w:r w:rsidR="00A915F0">
        <w:t xml:space="preserve"> Analysis system</w:t>
      </w:r>
      <w:r w:rsidR="00DC05EE">
        <w:t xml:space="preserve">, </w:t>
      </w:r>
      <w:r w:rsidR="00157422">
        <w:t xml:space="preserve">Agilent Bravo Liquid Handler, Twister Robot, </w:t>
      </w:r>
      <w:proofErr w:type="spellStart"/>
      <w:r w:rsidR="00157422">
        <w:t>Covaris</w:t>
      </w:r>
      <w:proofErr w:type="spellEnd"/>
      <w:r w:rsidR="00157422">
        <w:t xml:space="preserve">, Pippin, One </w:t>
      </w:r>
      <w:r w:rsidR="00DC05EE">
        <w:t xml:space="preserve">Touch and LT </w:t>
      </w:r>
      <w:proofErr w:type="spellStart"/>
      <w:r w:rsidR="00DC05EE">
        <w:t>Quant</w:t>
      </w:r>
      <w:r w:rsidR="00157422">
        <w:t>Studio</w:t>
      </w:r>
      <w:proofErr w:type="spellEnd"/>
      <w:r w:rsidR="00157422">
        <w:t xml:space="preserve"> 3D, </w:t>
      </w:r>
      <w:proofErr w:type="spellStart"/>
      <w:r w:rsidR="00DC05EE">
        <w:t>QuantStudio</w:t>
      </w:r>
      <w:proofErr w:type="spellEnd"/>
      <w:r w:rsidR="00DC05EE">
        <w:t xml:space="preserve"> 12K Flex</w:t>
      </w:r>
      <w:r w:rsidRPr="009F0C0D">
        <w:t xml:space="preserve"> Real-Time PCR system, Agilent Bioanalyzer, </w:t>
      </w:r>
      <w:r w:rsidR="0005789C">
        <w:t xml:space="preserve">Agilent </w:t>
      </w:r>
      <w:proofErr w:type="spellStart"/>
      <w:r w:rsidR="0005789C">
        <w:t>TapeStation</w:t>
      </w:r>
      <w:proofErr w:type="spellEnd"/>
      <w:r w:rsidR="0005789C">
        <w:t xml:space="preserve"> 4</w:t>
      </w:r>
      <w:r w:rsidR="00B674D3">
        <w:t>15</w:t>
      </w:r>
      <w:r w:rsidR="0005789C">
        <w:t>0</w:t>
      </w:r>
      <w:r w:rsidRPr="009F0C0D">
        <w:t>.</w:t>
      </w:r>
      <w:r w:rsidR="00157422">
        <w:rPr>
          <w:rFonts w:cs="Arial"/>
        </w:rPr>
        <w:t xml:space="preserve"> </w:t>
      </w:r>
      <w:r w:rsidR="00CC6052">
        <w:rPr>
          <w:rFonts w:cs="Arial"/>
        </w:rPr>
        <w:t xml:space="preserve">The Facility can also access an Illumina </w:t>
      </w:r>
      <w:proofErr w:type="spellStart"/>
      <w:r w:rsidR="00CC6052">
        <w:rPr>
          <w:rFonts w:cs="Arial"/>
        </w:rPr>
        <w:t>NovaSeq</w:t>
      </w:r>
      <w:proofErr w:type="spellEnd"/>
      <w:r w:rsidR="00CC6052">
        <w:rPr>
          <w:rFonts w:cs="Arial"/>
        </w:rPr>
        <w:t xml:space="preserve"> through the College of Medicine.</w:t>
      </w:r>
    </w:p>
    <w:p w14:paraId="2F98BC99" w14:textId="11881590" w:rsidR="00EB038D" w:rsidRDefault="00EB038D" w:rsidP="00CD524A">
      <w:pPr>
        <w:autoSpaceDE w:val="0"/>
        <w:autoSpaceDN w:val="0"/>
        <w:adjustRightInd w:val="0"/>
        <w:spacing w:before="0" w:after="0" w:afterAutospacing="0" w:line="240" w:lineRule="auto"/>
        <w:jc w:val="both"/>
        <w:rPr>
          <w:rFonts w:cs="Arial"/>
        </w:rPr>
      </w:pPr>
    </w:p>
    <w:p w14:paraId="5DAB6C7B" w14:textId="3E8726D1" w:rsidR="00A02937" w:rsidRPr="00EB038D" w:rsidRDefault="00C529A9" w:rsidP="00EB038D">
      <w:pPr>
        <w:autoSpaceDE w:val="0"/>
        <w:autoSpaceDN w:val="0"/>
        <w:adjustRightInd w:val="0"/>
        <w:spacing w:line="240" w:lineRule="auto"/>
      </w:pPr>
      <w:bookmarkStart w:id="0" w:name="_Hlk48044970"/>
      <w:r>
        <w:rPr>
          <w:b/>
          <w:bCs/>
          <w:iCs/>
        </w:rPr>
        <w:t>Sartorius</w:t>
      </w:r>
      <w:r w:rsidR="00EB038D" w:rsidRPr="00EB038D">
        <w:rPr>
          <w:b/>
          <w:bCs/>
          <w:iCs/>
        </w:rPr>
        <w:t xml:space="preserve"> Cell Culture</w:t>
      </w:r>
      <w:r>
        <w:rPr>
          <w:b/>
          <w:bCs/>
          <w:iCs/>
        </w:rPr>
        <w:t xml:space="preserve"> Facility</w:t>
      </w:r>
      <w:r w:rsidR="00EB038D" w:rsidRPr="00EB038D">
        <w:rPr>
          <w:b/>
          <w:bCs/>
        </w:rPr>
        <w:t>:</w:t>
      </w:r>
      <w:r w:rsidR="00EB038D">
        <w:t xml:space="preserve"> Located in 405 </w:t>
      </w:r>
      <w:proofErr w:type="spellStart"/>
      <w:r w:rsidR="00EB038D">
        <w:t>Chandlee</w:t>
      </w:r>
      <w:proofErr w:type="spellEnd"/>
      <w:r w:rsidR="00EB038D">
        <w:t xml:space="preserve"> Laboratory, adjacent to the Genomics Core Facility, supports research by providing cell cultures</w:t>
      </w:r>
      <w:r w:rsidR="00EB038D" w:rsidRPr="00EB038D">
        <w:t>,</w:t>
      </w:r>
      <w:r w:rsidR="00EB038D">
        <w:t xml:space="preserve"> media, supplies and expertise on a recharge basis for more than 30 different laboratories on and off University Park campus. The Facility performs on site experimentation for researchers as well as providing cell cultures and supernatants for researchers to take to their labs for experiments.  It also provides media and materials for checkout, and allows for onsite use of laminar flow hoods, incubators, bioreactors, and other equipment for researchers who are using cells provided by the Facility. Equipment will include but is not limited to the following: Sartorius </w:t>
      </w:r>
      <w:proofErr w:type="spellStart"/>
      <w:r w:rsidR="00EB038D">
        <w:t>Ambr</w:t>
      </w:r>
      <w:proofErr w:type="spellEnd"/>
      <w:r w:rsidR="00EB038D">
        <w:t xml:space="preserve"> 250, </w:t>
      </w:r>
      <w:proofErr w:type="spellStart"/>
      <w:r w:rsidR="00EB038D">
        <w:t>BioStat</w:t>
      </w:r>
      <w:proofErr w:type="spellEnd"/>
      <w:r w:rsidR="00EB038D">
        <w:t xml:space="preserve"> BDU twin with RM wave rocker, </w:t>
      </w:r>
      <w:proofErr w:type="spellStart"/>
      <w:r w:rsidR="00EB038D">
        <w:t>BioStat</w:t>
      </w:r>
      <w:proofErr w:type="spellEnd"/>
      <w:r w:rsidR="00EB038D">
        <w:t xml:space="preserve"> STR 50l bioreactor,  </w:t>
      </w:r>
      <w:proofErr w:type="spellStart"/>
      <w:r w:rsidR="00EB038D">
        <w:t>Biostat</w:t>
      </w:r>
      <w:proofErr w:type="spellEnd"/>
      <w:r w:rsidR="00EB038D">
        <w:t xml:space="preserve"> Str 200L bioreactor, hollow fiber and adherent bioreactor systems, CO2 incubator rocker system, electroporator, PCR machines, cryopreservation systems and storage, </w:t>
      </w:r>
      <w:proofErr w:type="spellStart"/>
      <w:r w:rsidR="00EB038D">
        <w:t>IncuCyte</w:t>
      </w:r>
      <w:proofErr w:type="spellEnd"/>
      <w:r w:rsidR="00EB038D">
        <w:t xml:space="preserve"> S3 Live cell analysis system, and  multiple centrifuges, both refrigerated and room temperature.  Initial downstream processing of cell culture products will also be available in this facility. </w:t>
      </w:r>
      <w:bookmarkEnd w:id="0"/>
    </w:p>
    <w:p w14:paraId="6C43BCBD" w14:textId="4A6CA235" w:rsidR="00CD524A" w:rsidRPr="00A81125" w:rsidRDefault="00CD524A" w:rsidP="00CD524A">
      <w:pPr>
        <w:autoSpaceDE w:val="0"/>
        <w:autoSpaceDN w:val="0"/>
        <w:adjustRightInd w:val="0"/>
        <w:spacing w:before="0" w:after="0" w:afterAutospacing="0" w:line="240" w:lineRule="auto"/>
        <w:jc w:val="both"/>
        <w:rPr>
          <w:rFonts w:cs="Arial"/>
        </w:rPr>
      </w:pPr>
      <w:r w:rsidRPr="00A81125">
        <w:rPr>
          <w:rFonts w:cs="Arial"/>
          <w:b/>
        </w:rPr>
        <w:t xml:space="preserve">Proteomics and </w:t>
      </w:r>
      <w:r>
        <w:rPr>
          <w:rFonts w:cs="Arial"/>
          <w:b/>
        </w:rPr>
        <w:t>Metabolomics Facilities</w:t>
      </w:r>
      <w:r w:rsidRPr="00A81125">
        <w:rPr>
          <w:rFonts w:cs="Arial"/>
          <w:b/>
        </w:rPr>
        <w:t xml:space="preserve">: </w:t>
      </w:r>
      <w:r>
        <w:rPr>
          <w:rFonts w:cs="Arial"/>
          <w:b/>
        </w:rPr>
        <w:t xml:space="preserve"> </w:t>
      </w:r>
      <w:r w:rsidR="00B67777" w:rsidRPr="009F0C0D">
        <w:t xml:space="preserve">Offer mass spectrometric analysis of synthetic compounds, </w:t>
      </w:r>
      <w:proofErr w:type="gramStart"/>
      <w:r w:rsidR="00B67777" w:rsidRPr="009F0C0D">
        <w:t>polymers</w:t>
      </w:r>
      <w:proofErr w:type="gramEnd"/>
      <w:r w:rsidR="00B67777" w:rsidRPr="009F0C0D">
        <w:t xml:space="preserve"> and biomolecules (such as proteins, peptides, oligosaccharides and oligonucleotides or their conjugates). Provide</w:t>
      </w:r>
      <w:r w:rsidR="00B67777">
        <w:t>s</w:t>
      </w:r>
      <w:r w:rsidR="00B67777" w:rsidRPr="009F0C0D">
        <w:t xml:space="preserve"> identification and quantitation of metabolites by LC-MS/MS and GC-MS, protein sample preparation and subsequent analysis by nanoflow LC ESI tandem mass spectrometry (nano LC-MS/MS). Biochemical profiling, </w:t>
      </w:r>
      <w:r w:rsidR="00290214" w:rsidRPr="009F0C0D">
        <w:t>fingerprinting</w:t>
      </w:r>
      <w:r w:rsidR="00B67777" w:rsidRPr="009F0C0D">
        <w:t>, metabolomics, pulse chase experimentation (stable isotope)</w:t>
      </w:r>
      <w:r w:rsidR="00B67777">
        <w:t>, MS-based microorganism identification</w:t>
      </w:r>
      <w:r w:rsidR="00B67777" w:rsidRPr="009F0C0D">
        <w:t xml:space="preserve">. Instrumentation includes: Thermo Orbitrap </w:t>
      </w:r>
      <w:r w:rsidR="00D53684">
        <w:t>Eclipse</w:t>
      </w:r>
      <w:r w:rsidR="00B67777" w:rsidRPr="009F0C0D">
        <w:t xml:space="preserve"> with Electron Transfer Dissociation, </w:t>
      </w:r>
      <w:r w:rsidR="00B67777">
        <w:t xml:space="preserve">Bruker </w:t>
      </w:r>
      <w:proofErr w:type="spellStart"/>
      <w:r w:rsidR="00B67777">
        <w:t>UltrafleXtreme</w:t>
      </w:r>
      <w:proofErr w:type="spellEnd"/>
      <w:r w:rsidR="00B67777">
        <w:t xml:space="preserve"> MALDI-TOF/TOF</w:t>
      </w:r>
      <w:r w:rsidR="00B67777" w:rsidRPr="009F0C0D">
        <w:t xml:space="preserve">, </w:t>
      </w:r>
      <w:r w:rsidR="00601896">
        <w:t>Thermo Q-</w:t>
      </w:r>
      <w:proofErr w:type="spellStart"/>
      <w:r w:rsidR="00601896">
        <w:t>Exactive</w:t>
      </w:r>
      <w:proofErr w:type="spellEnd"/>
      <w:r w:rsidR="00B67777" w:rsidRPr="009F0C0D">
        <w:t xml:space="preserve">, </w:t>
      </w:r>
      <w:r w:rsidR="00D53684">
        <w:t xml:space="preserve">Waters G2 Si for Hydrogen Deuterium Exchange studies, </w:t>
      </w:r>
      <w:r w:rsidR="00B67777">
        <w:t xml:space="preserve">Thermo </w:t>
      </w:r>
      <w:proofErr w:type="spellStart"/>
      <w:r w:rsidR="00B67777">
        <w:t>Exactive</w:t>
      </w:r>
      <w:proofErr w:type="spellEnd"/>
      <w:r w:rsidR="00B67777">
        <w:t xml:space="preserve"> Plus</w:t>
      </w:r>
      <w:r w:rsidR="00B67777" w:rsidRPr="009F0C0D">
        <w:t xml:space="preserve">, Waters </w:t>
      </w:r>
      <w:proofErr w:type="spellStart"/>
      <w:r w:rsidR="00B67777" w:rsidRPr="009F0C0D">
        <w:t>Synapt</w:t>
      </w:r>
      <w:proofErr w:type="spellEnd"/>
      <w:r w:rsidR="00B67777" w:rsidRPr="009F0C0D">
        <w:t xml:space="preserve"> G2, Waters </w:t>
      </w:r>
      <w:proofErr w:type="spellStart"/>
      <w:r w:rsidR="00B67777" w:rsidRPr="009F0C0D">
        <w:t>Xevo</w:t>
      </w:r>
      <w:proofErr w:type="spellEnd"/>
      <w:r w:rsidR="00B67777" w:rsidRPr="009F0C0D">
        <w:t xml:space="preserve"> TQ-S, AB </w:t>
      </w:r>
      <w:proofErr w:type="spellStart"/>
      <w:r w:rsidR="00B67777" w:rsidRPr="009F0C0D">
        <w:t>Sciex</w:t>
      </w:r>
      <w:proofErr w:type="spellEnd"/>
      <w:r w:rsidR="00B67777" w:rsidRPr="009F0C0D">
        <w:t xml:space="preserve"> Triple TOF 5600</w:t>
      </w:r>
      <w:r w:rsidR="00B67777">
        <w:t>, Agilent 5975 GC-MS</w:t>
      </w:r>
      <w:r w:rsidR="009A2C03">
        <w:t xml:space="preserve">, </w:t>
      </w:r>
      <w:r w:rsidR="009A2C03" w:rsidRPr="00584F9C">
        <w:rPr>
          <w:rFonts w:cs="Arial"/>
        </w:rPr>
        <w:t xml:space="preserve">Thermo Orbitrap Fusion Lumos </w:t>
      </w:r>
      <w:r w:rsidR="009A2C03" w:rsidRPr="00584F9C">
        <w:rPr>
          <w:rFonts w:cs="Arial"/>
          <w:iCs/>
        </w:rPr>
        <w:t xml:space="preserve">(NIH </w:t>
      </w:r>
      <w:r w:rsidR="009A2C03" w:rsidRPr="00584F9C">
        <w:rPr>
          <w:rFonts w:cs="Arial"/>
          <w:iCs/>
          <w:color w:val="000000"/>
        </w:rPr>
        <w:t>1 S10 OD021750-01A1; Patterson et al, 2017</w:t>
      </w:r>
      <w:r w:rsidR="009A2C03" w:rsidRPr="00584F9C">
        <w:rPr>
          <w:rFonts w:cs="Arial"/>
          <w:iCs/>
        </w:rPr>
        <w:t>)</w:t>
      </w:r>
      <w:r w:rsidR="009A2C03" w:rsidRPr="00584F9C">
        <w:rPr>
          <w:rFonts w:cs="Arial"/>
        </w:rPr>
        <w:t>.</w:t>
      </w:r>
    </w:p>
    <w:p w14:paraId="02EB378F" w14:textId="77777777" w:rsidR="00CD524A" w:rsidRPr="00A81125" w:rsidRDefault="00CD524A" w:rsidP="00CD524A">
      <w:pPr>
        <w:autoSpaceDE w:val="0"/>
        <w:autoSpaceDN w:val="0"/>
        <w:adjustRightInd w:val="0"/>
        <w:spacing w:before="0" w:after="0" w:afterAutospacing="0" w:line="240" w:lineRule="auto"/>
        <w:jc w:val="both"/>
        <w:rPr>
          <w:rFonts w:cs="Arial"/>
        </w:rPr>
      </w:pPr>
    </w:p>
    <w:p w14:paraId="05172E27" w14:textId="2E1B8D80" w:rsidR="0094471C" w:rsidRPr="0094471C" w:rsidRDefault="001B2470" w:rsidP="0094471C">
      <w:pPr>
        <w:autoSpaceDE w:val="0"/>
        <w:autoSpaceDN w:val="0"/>
        <w:adjustRightInd w:val="0"/>
        <w:spacing w:before="0" w:after="0" w:afterAutospacing="0" w:line="240" w:lineRule="auto"/>
        <w:jc w:val="both"/>
      </w:pPr>
      <w:r>
        <w:rPr>
          <w:rFonts w:cs="Arial"/>
          <w:b/>
        </w:rPr>
        <w:t xml:space="preserve">CSL Behring </w:t>
      </w:r>
      <w:r w:rsidR="00CD524A" w:rsidRPr="00A81125">
        <w:rPr>
          <w:rFonts w:cs="Arial"/>
          <w:b/>
        </w:rPr>
        <w:t>Fermentation</w:t>
      </w:r>
      <w:r>
        <w:rPr>
          <w:rFonts w:cs="Arial"/>
          <w:b/>
        </w:rPr>
        <w:t xml:space="preserve"> Facility</w:t>
      </w:r>
      <w:r w:rsidR="00CD524A" w:rsidRPr="00A81125">
        <w:rPr>
          <w:rFonts w:cs="Arial"/>
          <w:b/>
        </w:rPr>
        <w:t xml:space="preserve">: </w:t>
      </w:r>
      <w:r w:rsidR="00CD524A">
        <w:rPr>
          <w:rFonts w:cs="Arial"/>
          <w:b/>
        </w:rPr>
        <w:t xml:space="preserve"> </w:t>
      </w:r>
      <w:r>
        <w:t xml:space="preserve">Houses a total of 9 fermenters ranging from 5 to 100-liter capacities, including a New Brunswick </w:t>
      </w:r>
      <w:proofErr w:type="spellStart"/>
      <w:r>
        <w:t>Bioflo</w:t>
      </w:r>
      <w:proofErr w:type="spellEnd"/>
      <w:r>
        <w:t xml:space="preserve"> 3000 (5L), two </w:t>
      </w:r>
      <w:proofErr w:type="spellStart"/>
      <w:r>
        <w:t>BioStat</w:t>
      </w:r>
      <w:proofErr w:type="spellEnd"/>
      <w:r>
        <w:t xml:space="preserve"> B – Twin units (4 x 5L), two </w:t>
      </w:r>
      <w:proofErr w:type="spellStart"/>
      <w:r>
        <w:t>BioStat</w:t>
      </w:r>
      <w:proofErr w:type="spellEnd"/>
      <w:r>
        <w:t xml:space="preserve"> </w:t>
      </w:r>
      <w:proofErr w:type="spellStart"/>
      <w:r>
        <w:t>Cplus</w:t>
      </w:r>
      <w:proofErr w:type="spellEnd"/>
      <w:r>
        <w:t xml:space="preserve"> units (2 x 30L SIP), and a </w:t>
      </w:r>
      <w:proofErr w:type="spellStart"/>
      <w:r>
        <w:t>BioStat</w:t>
      </w:r>
      <w:proofErr w:type="spellEnd"/>
      <w:r>
        <w:t xml:space="preserve"> D-DCU (1 x 50L and 1 x 100L SIP units). In addition, bioprocessing applications are facilitated by a </w:t>
      </w:r>
      <w:proofErr w:type="spellStart"/>
      <w:r>
        <w:t>Mircofluidics</w:t>
      </w:r>
      <w:proofErr w:type="spellEnd"/>
      <w:r>
        <w:t xml:space="preserve"> (M-110EH-30) microfluidizer for cell disruption. Separation and harvest of biomass are enabled by a Sharples T-1-P and AS-16 continuous flow tube bowl and a GEA-</w:t>
      </w:r>
      <w:proofErr w:type="spellStart"/>
      <w:r>
        <w:t>Westfalia</w:t>
      </w:r>
      <w:proofErr w:type="spellEnd"/>
      <w:r>
        <w:t xml:space="preserve"> CSA-1 disk stack centrifuges, </w:t>
      </w:r>
      <w:bookmarkStart w:id="1" w:name="_Hlk21434801"/>
      <w:r>
        <w:t>along with a Beckman Avanti JXN26 high capacity centrifuge</w:t>
      </w:r>
      <w:bookmarkEnd w:id="1"/>
      <w:r>
        <w:t xml:space="preserve">. Product purification and concentration possible through an AKTA Pure 150 Fast Protein Liquid Chromatography (FPLC) system, along with Sartorius SARTOFLOW Smart and Advanced platforms for micro- and ultra-filtration. Product or material drying made possible through a </w:t>
      </w:r>
      <w:proofErr w:type="spellStart"/>
      <w:r>
        <w:t>Labconco</w:t>
      </w:r>
      <w:proofErr w:type="spellEnd"/>
      <w:r>
        <w:t xml:space="preserve"> </w:t>
      </w:r>
      <w:proofErr w:type="spellStart"/>
      <w:r>
        <w:t>FreeZone</w:t>
      </w:r>
      <w:proofErr w:type="spellEnd"/>
      <w:r>
        <w:t xml:space="preserve"> 18L system. A Thermo Vanquish HPLC system provides analytical capabilities within the facility with variable wavelength UV-VIS and RI detectors. Added capabilities to support biomass processing work provided by a UV-Vis spectrophotometer, fermentation off-gas analyzers, fermentation online glucose and lactate monitoring, and other sampling processing equipment.</w:t>
      </w:r>
    </w:p>
    <w:p w14:paraId="6A05A809" w14:textId="77777777" w:rsidR="00CD524A" w:rsidRPr="00A81125" w:rsidRDefault="00CD524A" w:rsidP="00CD524A">
      <w:pPr>
        <w:autoSpaceDE w:val="0"/>
        <w:autoSpaceDN w:val="0"/>
        <w:adjustRightInd w:val="0"/>
        <w:spacing w:before="0" w:after="0" w:afterAutospacing="0" w:line="240" w:lineRule="auto"/>
        <w:jc w:val="both"/>
        <w:rPr>
          <w:rFonts w:cs="Arial"/>
        </w:rPr>
      </w:pPr>
    </w:p>
    <w:p w14:paraId="5A39BBE3" w14:textId="77777777" w:rsidR="00CD524A" w:rsidRPr="00A81125" w:rsidRDefault="00CD524A" w:rsidP="00CD524A">
      <w:pPr>
        <w:autoSpaceDE w:val="0"/>
        <w:autoSpaceDN w:val="0"/>
        <w:adjustRightInd w:val="0"/>
        <w:spacing w:before="0" w:after="0" w:afterAutospacing="0" w:line="240" w:lineRule="auto"/>
        <w:jc w:val="both"/>
        <w:rPr>
          <w:rFonts w:cs="Arial"/>
        </w:rPr>
      </w:pPr>
    </w:p>
    <w:p w14:paraId="44C845A5" w14:textId="5AA233C6" w:rsidR="009A2C03" w:rsidRDefault="009A2C03" w:rsidP="009A2C03">
      <w:pPr>
        <w:autoSpaceDE w:val="0"/>
        <w:autoSpaceDN w:val="0"/>
        <w:adjustRightInd w:val="0"/>
        <w:spacing w:line="240" w:lineRule="auto"/>
        <w:contextualSpacing/>
        <w:jc w:val="both"/>
      </w:pPr>
      <w:r>
        <w:rPr>
          <w:rFonts w:cs="Arial"/>
          <w:b/>
        </w:rPr>
        <w:t>Microscopy</w:t>
      </w:r>
      <w:r w:rsidRPr="00987E42">
        <w:rPr>
          <w:rFonts w:cs="Arial"/>
          <w:b/>
        </w:rPr>
        <w:t xml:space="preserve">: </w:t>
      </w:r>
      <w:r w:rsidRPr="00987E42">
        <w:rPr>
          <w:rFonts w:cs="Arial"/>
        </w:rPr>
        <w:t xml:space="preserve"> </w:t>
      </w:r>
      <w:r w:rsidRPr="00987E42">
        <w:t xml:space="preserve">Provides conventional transmission- and scanning electron microscopy, cryo-SEM, cryo-TEM, digitized imaging, microtomy, cryogenic sample preparation, high resolution imaging, elemental analysis, immunogold labeling, freeze-substitution, histology and immunohistochemistry. Instrumentation includes: Scanning Electron Microscope: Zeiss SIGMA VP-FESEM with </w:t>
      </w:r>
      <w:proofErr w:type="spellStart"/>
      <w:r w:rsidRPr="00987E42">
        <w:t>Gatan</w:t>
      </w:r>
      <w:proofErr w:type="spellEnd"/>
      <w:r w:rsidRPr="00987E42">
        <w:t xml:space="preserve"> 3View2, Transmission Electron </w:t>
      </w:r>
      <w:r w:rsidRPr="00987E42">
        <w:lastRenderedPageBreak/>
        <w:t xml:space="preserve">Microscopes: FEI Spirit </w:t>
      </w:r>
      <w:proofErr w:type="spellStart"/>
      <w:r w:rsidRPr="00987E42">
        <w:t>BioTWIN</w:t>
      </w:r>
      <w:proofErr w:type="spellEnd"/>
      <w:r w:rsidRPr="00987E42">
        <w:t xml:space="preserve"> and JEOL JEM 1200 EXII. Zeiss PALM Microbeam with LCM </w:t>
      </w:r>
      <w:proofErr w:type="spellStart"/>
      <w:r w:rsidRPr="00987E42">
        <w:t>RoboMover</w:t>
      </w:r>
      <w:proofErr w:type="spellEnd"/>
      <w:r w:rsidRPr="00987E42">
        <w:t xml:space="preserve">, Light microscopes, Accessory equipment, including a Leica HPM100 high pressure freezer.  Instrumentation for microscopy includes: </w:t>
      </w:r>
      <w:r w:rsidR="00B61615">
        <w:t xml:space="preserve">Leica SP8 DIVE multi-photon microscope, </w:t>
      </w:r>
      <w:r w:rsidR="000C372E">
        <w:t xml:space="preserve">Olympus </w:t>
      </w:r>
      <w:proofErr w:type="spellStart"/>
      <w:r w:rsidR="000C372E">
        <w:t>Fluoview</w:t>
      </w:r>
      <w:proofErr w:type="spellEnd"/>
      <w:r w:rsidR="000C372E">
        <w:t xml:space="preserve"> 1000, </w:t>
      </w:r>
      <w:r w:rsidRPr="00987E42">
        <w:t xml:space="preserve">Olympus </w:t>
      </w:r>
      <w:proofErr w:type="spellStart"/>
      <w:r w:rsidRPr="00987E42">
        <w:t>Fluoview</w:t>
      </w:r>
      <w:proofErr w:type="spellEnd"/>
      <w:r w:rsidRPr="00987E42">
        <w:t xml:space="preserve"> 10i, </w:t>
      </w:r>
      <w:r w:rsidR="00F731C2">
        <w:t xml:space="preserve">Zeiss LSM880 </w:t>
      </w:r>
      <w:proofErr w:type="spellStart"/>
      <w:r w:rsidR="00F731C2">
        <w:t>Airyscan</w:t>
      </w:r>
      <w:proofErr w:type="spellEnd"/>
      <w:r w:rsidR="00F731C2">
        <w:t xml:space="preserve"> Fast with </w:t>
      </w:r>
      <w:proofErr w:type="spellStart"/>
      <w:r w:rsidR="00F731C2">
        <w:t>PicoQuant</w:t>
      </w:r>
      <w:proofErr w:type="spellEnd"/>
      <w:r w:rsidR="00F731C2">
        <w:t xml:space="preserve"> FLIM</w:t>
      </w:r>
      <w:r w:rsidRPr="00987E42">
        <w:t xml:space="preserve">, Keyence BZ-9000E, </w:t>
      </w:r>
      <w:r w:rsidR="00604626">
        <w:t xml:space="preserve">Zeiss </w:t>
      </w:r>
      <w:proofErr w:type="spellStart"/>
      <w:r w:rsidR="00604626">
        <w:t>AxioZoom</w:t>
      </w:r>
      <w:proofErr w:type="spellEnd"/>
      <w:r w:rsidR="00604626">
        <w:t xml:space="preserve"> v16 fluorescent stereo zoom microscope with ApoTom2 for optical sectioning, </w:t>
      </w:r>
      <w:r w:rsidRPr="00987E42">
        <w:t>Olympus BX60 (digital scope), and an O</w:t>
      </w:r>
      <w:r>
        <w:t>lympus BX61 (materials scope). Two</w:t>
      </w:r>
      <w:r w:rsidRPr="00987E42">
        <w:t xml:space="preserve"> super resolution light microscope</w:t>
      </w:r>
      <w:r>
        <w:t>s</w:t>
      </w:r>
      <w:r w:rsidRPr="00987E42">
        <w:t xml:space="preserve"> (Nikon N-SIM, N-STORM</w:t>
      </w:r>
      <w:r>
        <w:t xml:space="preserve"> and </w:t>
      </w:r>
      <w:proofErr w:type="spellStart"/>
      <w:r>
        <w:t>BioVision</w:t>
      </w:r>
      <w:proofErr w:type="spellEnd"/>
      <w:r>
        <w:t xml:space="preserve"> VT-</w:t>
      </w:r>
      <w:proofErr w:type="spellStart"/>
      <w:r>
        <w:t>iSIM</w:t>
      </w:r>
      <w:proofErr w:type="spellEnd"/>
      <w:r>
        <w:t>) were</w:t>
      </w:r>
      <w:r w:rsidRPr="00987E42">
        <w:t xml:space="preserve"> acquired in </w:t>
      </w:r>
      <w:r>
        <w:t>late</w:t>
      </w:r>
      <w:r w:rsidRPr="00987E42">
        <w:t xml:space="preserve"> 2016 from a successful NSF-MRI application (Anderson et al, DBI-1625473).</w:t>
      </w:r>
    </w:p>
    <w:p w14:paraId="41C8F396" w14:textId="77777777" w:rsidR="009A2C03" w:rsidRDefault="009A2C03" w:rsidP="009A2C03">
      <w:pPr>
        <w:autoSpaceDE w:val="0"/>
        <w:autoSpaceDN w:val="0"/>
        <w:adjustRightInd w:val="0"/>
        <w:spacing w:line="240" w:lineRule="auto"/>
        <w:contextualSpacing/>
        <w:jc w:val="both"/>
      </w:pPr>
    </w:p>
    <w:p w14:paraId="646FBC8F" w14:textId="77777777" w:rsidR="00CD524A" w:rsidRDefault="009A2C03" w:rsidP="009A2C03">
      <w:pPr>
        <w:autoSpaceDE w:val="0"/>
        <w:autoSpaceDN w:val="0"/>
        <w:adjustRightInd w:val="0"/>
        <w:spacing w:line="240" w:lineRule="auto"/>
        <w:contextualSpacing/>
        <w:jc w:val="both"/>
      </w:pPr>
      <w:r w:rsidRPr="007A5391">
        <w:rPr>
          <w:b/>
        </w:rPr>
        <w:t>Flow Cytometry:</w:t>
      </w:r>
      <w:r>
        <w:t xml:space="preserve"> </w:t>
      </w:r>
      <w:r w:rsidRPr="00987E42">
        <w:t xml:space="preserve">Instrumentation </w:t>
      </w:r>
      <w:proofErr w:type="gramStart"/>
      <w:r w:rsidRPr="00987E42">
        <w:t>includes:</w:t>
      </w:r>
      <w:proofErr w:type="gramEnd"/>
      <w:r w:rsidRPr="00987E42">
        <w:t xml:space="preserve"> Beckman Coulter </w:t>
      </w:r>
      <w:proofErr w:type="spellStart"/>
      <w:r w:rsidRPr="00987E42">
        <w:t>MoFlo</w:t>
      </w:r>
      <w:proofErr w:type="spellEnd"/>
      <w:r w:rsidRPr="00987E42">
        <w:t xml:space="preserve"> </w:t>
      </w:r>
      <w:proofErr w:type="spellStart"/>
      <w:r w:rsidRPr="00987E42">
        <w:t>Astrios</w:t>
      </w:r>
      <w:proofErr w:type="spellEnd"/>
      <w:r w:rsidRPr="00987E42">
        <w:t xml:space="preserve"> cell sorter (BSL-1, 2 &amp; 2+)</w:t>
      </w:r>
      <w:r w:rsidR="00EE31BF">
        <w:t xml:space="preserve"> </w:t>
      </w:r>
      <w:proofErr w:type="spellStart"/>
      <w:r w:rsidR="00EE31BF">
        <w:t>Miltenyi</w:t>
      </w:r>
      <w:proofErr w:type="spellEnd"/>
      <w:r w:rsidR="00EE31BF">
        <w:t xml:space="preserve"> TYTO sorter</w:t>
      </w:r>
      <w:r w:rsidRPr="00987E42">
        <w:t xml:space="preserve">, </w:t>
      </w:r>
      <w:proofErr w:type="spellStart"/>
      <w:r w:rsidR="00EE31BF">
        <w:t>Miltenyi</w:t>
      </w:r>
      <w:proofErr w:type="spellEnd"/>
      <w:r w:rsidR="00EE31BF">
        <w:t xml:space="preserve"> VYB</w:t>
      </w:r>
      <w:r w:rsidRPr="00987E42">
        <w:t xml:space="preserve"> and BD LSR </w:t>
      </w:r>
      <w:proofErr w:type="spellStart"/>
      <w:r w:rsidRPr="00987E42">
        <w:t>Fortessa</w:t>
      </w:r>
      <w:proofErr w:type="spellEnd"/>
      <w:r w:rsidRPr="00987E42">
        <w:t xml:space="preserve"> II flow cytometers and the EMD Millipore </w:t>
      </w:r>
      <w:proofErr w:type="spellStart"/>
      <w:r w:rsidRPr="00987E42">
        <w:t>FlowSight</w:t>
      </w:r>
      <w:proofErr w:type="spellEnd"/>
      <w:r w:rsidRPr="00987E42">
        <w:t xml:space="preserve"> imaging cytometer. </w:t>
      </w:r>
    </w:p>
    <w:p w14:paraId="72A3D3EC" w14:textId="77777777" w:rsidR="00F36144" w:rsidRDefault="00F36144" w:rsidP="00CD524A">
      <w:pPr>
        <w:autoSpaceDE w:val="0"/>
        <w:autoSpaceDN w:val="0"/>
        <w:adjustRightInd w:val="0"/>
        <w:spacing w:line="240" w:lineRule="auto"/>
        <w:contextualSpacing/>
      </w:pPr>
    </w:p>
    <w:p w14:paraId="4E0234E2" w14:textId="77777777" w:rsidR="006F4FD0" w:rsidRDefault="00F36144" w:rsidP="00CD524A">
      <w:pPr>
        <w:autoSpaceDE w:val="0"/>
        <w:autoSpaceDN w:val="0"/>
        <w:adjustRightInd w:val="0"/>
        <w:spacing w:line="240" w:lineRule="auto"/>
        <w:contextualSpacing/>
      </w:pPr>
      <w:r w:rsidRPr="00F36144">
        <w:rPr>
          <w:b/>
        </w:rPr>
        <w:t>Cryo-EM:</w:t>
      </w:r>
      <w:r>
        <w:t xml:space="preserve"> </w:t>
      </w:r>
      <w:r w:rsidR="00CE64F7">
        <w:t>Thermo (FEI) Talos Arctica</w:t>
      </w:r>
      <w:r w:rsidR="0005789C">
        <w:t xml:space="preserve"> </w:t>
      </w:r>
      <w:r w:rsidR="0068103C">
        <w:t>(</w:t>
      </w:r>
      <w:r w:rsidR="0068103C" w:rsidRPr="0046432B">
        <w:t xml:space="preserve">NIH </w:t>
      </w:r>
      <w:r w:rsidR="0068103C" w:rsidRPr="0046432B">
        <w:rPr>
          <w:rFonts w:cs="Arial"/>
          <w:color w:val="000000"/>
        </w:rPr>
        <w:t>1 S10 OD026822-01; Hafenstein et al, 2019</w:t>
      </w:r>
      <w:r w:rsidR="0068103C">
        <w:rPr>
          <w:rFonts w:cs="Arial"/>
          <w:color w:val="000000"/>
          <w:sz w:val="20"/>
          <w:szCs w:val="20"/>
        </w:rPr>
        <w:t>)</w:t>
      </w:r>
      <w:r w:rsidR="00CE64F7">
        <w:t xml:space="preserve"> and </w:t>
      </w:r>
      <w:r w:rsidRPr="00987E42">
        <w:t xml:space="preserve">Titan </w:t>
      </w:r>
      <w:proofErr w:type="spellStart"/>
      <w:r w:rsidRPr="00987E42">
        <w:t>Krios</w:t>
      </w:r>
      <w:proofErr w:type="spellEnd"/>
      <w:r w:rsidRPr="00987E42">
        <w:t xml:space="preserve"> G2 </w:t>
      </w:r>
      <w:r w:rsidR="0046432B">
        <w:t>(</w:t>
      </w:r>
      <w:r w:rsidR="0005789C">
        <w:t xml:space="preserve">microscopes </w:t>
      </w:r>
      <w:r w:rsidR="0005789C" w:rsidRPr="0005789C">
        <w:rPr>
          <w:rFonts w:cs="Arial"/>
          <w:color w:val="000000"/>
        </w:rPr>
        <w:t>acquired</w:t>
      </w:r>
      <w:r w:rsidRPr="0005789C">
        <w:t xml:space="preserve"> </w:t>
      </w:r>
      <w:r w:rsidR="00DB7E08">
        <w:t>September</w:t>
      </w:r>
      <w:r w:rsidR="00CE64F7">
        <w:t xml:space="preserve"> 2019 and </w:t>
      </w:r>
      <w:r w:rsidRPr="00987E42">
        <w:t>June 2016</w:t>
      </w:r>
      <w:r w:rsidR="00CE64F7">
        <w:t xml:space="preserve"> respectively).</w:t>
      </w:r>
      <w:r w:rsidR="00CE64F7" w:rsidRPr="00987E42">
        <w:t xml:space="preserve"> </w:t>
      </w:r>
      <w:proofErr w:type="gramStart"/>
      <w:r w:rsidR="00CE64F7">
        <w:t>Typically</w:t>
      </w:r>
      <w:proofErr w:type="gramEnd"/>
      <w:r w:rsidR="00CE64F7">
        <w:t xml:space="preserve"> data screenings are performed on the Arctica, datasets are collected on the </w:t>
      </w:r>
      <w:proofErr w:type="spellStart"/>
      <w:r w:rsidR="00CE64F7">
        <w:t>Krios</w:t>
      </w:r>
      <w:proofErr w:type="spellEnd"/>
      <w:r w:rsidR="00CE64F7">
        <w:t xml:space="preserve">. </w:t>
      </w:r>
      <w:r w:rsidRPr="00987E42">
        <w:t>The</w:t>
      </w:r>
      <w:r w:rsidR="00CE64F7">
        <w:t xml:space="preserve"> </w:t>
      </w:r>
      <w:proofErr w:type="spellStart"/>
      <w:r w:rsidR="007004B0">
        <w:t>Krios</w:t>
      </w:r>
      <w:proofErr w:type="spellEnd"/>
      <w:r w:rsidR="007004B0">
        <w:t xml:space="preserve"> is unique in that it combines material science functions with biological functions without compromising data collec</w:t>
      </w:r>
      <w:r w:rsidR="00B26109">
        <w:t xml:space="preserve">tion for either one. </w:t>
      </w:r>
      <w:r w:rsidR="006F4FD0" w:rsidRPr="006F4FD0">
        <w:t xml:space="preserve">This </w:t>
      </w:r>
      <w:proofErr w:type="spellStart"/>
      <w:r w:rsidR="006F4FD0" w:rsidRPr="006F4FD0">
        <w:t>Krios</w:t>
      </w:r>
      <w:proofErr w:type="spellEnd"/>
      <w:r w:rsidR="006F4FD0" w:rsidRPr="006F4FD0">
        <w:t xml:space="preserve"> was strategically configured to support what </w:t>
      </w:r>
      <w:r w:rsidR="006F4FD0">
        <w:t>we are calling</w:t>
      </w:r>
      <w:r w:rsidR="006F4FD0" w:rsidRPr="006F4FD0">
        <w:t xml:space="preserve"> the “Third Revolution” in life sciences research – the translation of tools developed in the physical sciences and engineering to the life sciences.  There are rich scientific opportunities at the convergence of these historically disparate disciplines and as such the Penn State </w:t>
      </w:r>
      <w:proofErr w:type="spellStart"/>
      <w:r w:rsidR="006F4FD0" w:rsidRPr="006F4FD0">
        <w:t>Krios</w:t>
      </w:r>
      <w:proofErr w:type="spellEnd"/>
      <w:r w:rsidR="006F4FD0" w:rsidRPr="006F4FD0">
        <w:t xml:space="preserve"> will retain all the functionally necessary for st</w:t>
      </w:r>
      <w:r w:rsidR="006F4FD0">
        <w:t>andard life sciences work (cryo-EM data collection</w:t>
      </w:r>
      <w:r w:rsidR="006F4FD0" w:rsidRPr="006F4FD0">
        <w:t xml:space="preserve">, </w:t>
      </w:r>
      <w:r w:rsidR="006F4FD0">
        <w:t xml:space="preserve">uncompromised use of the GIF and </w:t>
      </w:r>
      <w:r w:rsidR="006F4FD0" w:rsidRPr="006F4FD0">
        <w:t>DED, tomography</w:t>
      </w:r>
      <w:r w:rsidR="00C85FBA">
        <w:t xml:space="preserve"> data collection</w:t>
      </w:r>
      <w:r w:rsidR="006F4FD0" w:rsidRPr="006F4FD0">
        <w:t>) as well as unique functionality that is established in the physical sciences (STEM, EFTEM, EELS, Cs corrector)</w:t>
      </w:r>
      <w:r w:rsidR="006F4FD0">
        <w:t>. The combination</w:t>
      </w:r>
      <w:r w:rsidR="006F4FD0" w:rsidRPr="006F4FD0">
        <w:t xml:space="preserve"> will provide powerful new opportunities for the life sciences.  More specifically the </w:t>
      </w:r>
      <w:proofErr w:type="spellStart"/>
      <w:r w:rsidR="006F4FD0" w:rsidRPr="006F4FD0">
        <w:t>Krios</w:t>
      </w:r>
      <w:proofErr w:type="spellEnd"/>
      <w:r w:rsidR="006F4FD0" w:rsidRPr="006F4FD0">
        <w:t xml:space="preserve"> is configured with:  C</w:t>
      </w:r>
      <w:r w:rsidR="006F4FD0" w:rsidRPr="006F4FD0">
        <w:rPr>
          <w:vertAlign w:val="subscript"/>
        </w:rPr>
        <w:t>S</w:t>
      </w:r>
      <w:r w:rsidR="006F4FD0" w:rsidRPr="006F4FD0">
        <w:t xml:space="preserve"> image corrector, </w:t>
      </w:r>
      <w:proofErr w:type="spellStart"/>
      <w:r w:rsidR="006F4FD0" w:rsidRPr="006F4FD0">
        <w:t>Gatan</w:t>
      </w:r>
      <w:proofErr w:type="spellEnd"/>
      <w:r w:rsidR="006F4FD0" w:rsidRPr="006F4FD0">
        <w:t xml:space="preserve"> Quantum GIF (EFTEM/EELS), STEM, on-axis BF/DF detector, </w:t>
      </w:r>
      <w:r w:rsidR="00C85FBA">
        <w:t>Volta phase p</w:t>
      </w:r>
      <w:r w:rsidR="006F4FD0" w:rsidRPr="006F4FD0">
        <w:t xml:space="preserve">late, Falcon 3e DED, and a </w:t>
      </w:r>
      <w:proofErr w:type="spellStart"/>
      <w:r w:rsidR="006F4FD0" w:rsidRPr="006F4FD0">
        <w:t>Gatan</w:t>
      </w:r>
      <w:proofErr w:type="spellEnd"/>
      <w:r w:rsidR="006F4FD0" w:rsidRPr="006F4FD0">
        <w:t xml:space="preserve"> K2 DED. </w:t>
      </w:r>
    </w:p>
    <w:p w14:paraId="0D0B940D" w14:textId="77777777" w:rsidR="009A2C03" w:rsidRDefault="009A2C03" w:rsidP="00CD524A">
      <w:pPr>
        <w:autoSpaceDE w:val="0"/>
        <w:autoSpaceDN w:val="0"/>
        <w:adjustRightInd w:val="0"/>
        <w:spacing w:line="240" w:lineRule="auto"/>
        <w:contextualSpacing/>
      </w:pPr>
    </w:p>
    <w:p w14:paraId="7260A541" w14:textId="77777777" w:rsidR="0044456D" w:rsidRPr="00F0178F" w:rsidRDefault="00D02469" w:rsidP="0044456D">
      <w:pPr>
        <w:autoSpaceDE w:val="0"/>
        <w:autoSpaceDN w:val="0"/>
        <w:adjustRightInd w:val="0"/>
        <w:spacing w:line="240" w:lineRule="auto"/>
        <w:contextualSpacing/>
      </w:pPr>
      <w:r w:rsidRPr="00F0178F">
        <w:rPr>
          <w:b/>
        </w:rPr>
        <w:t>Computer resources (specific to cryo-EM 3-D image processing).</w:t>
      </w:r>
      <w:r w:rsidRPr="00F0178F">
        <w:t xml:space="preserve"> </w:t>
      </w:r>
    </w:p>
    <w:p w14:paraId="09B255D2" w14:textId="70381193" w:rsidR="0044456D" w:rsidRPr="00F0178F" w:rsidRDefault="34F1EBD4" w:rsidP="34F1EBD4">
      <w:pPr>
        <w:autoSpaceDE w:val="0"/>
        <w:autoSpaceDN w:val="0"/>
        <w:adjustRightInd w:val="0"/>
        <w:spacing w:line="240" w:lineRule="auto"/>
        <w:contextualSpacing/>
      </w:pPr>
      <w:r w:rsidRPr="00F0178F">
        <w:t xml:space="preserve">The computational architecture was designed to support high-speed automated data collection, analysis, visualization, and </w:t>
      </w:r>
      <w:proofErr w:type="gramStart"/>
      <w:r w:rsidRPr="00F0178F">
        <w:t>long term</w:t>
      </w:r>
      <w:proofErr w:type="gramEnd"/>
      <w:r w:rsidRPr="00F0178F">
        <w:t xml:space="preserve"> archival storage of cryo-EM data. Microscopy images are processed in real-time using </w:t>
      </w:r>
      <w:proofErr w:type="spellStart"/>
      <w:r w:rsidRPr="00F0178F">
        <w:t>Scipion</w:t>
      </w:r>
      <w:proofErr w:type="spellEnd"/>
      <w:r w:rsidRPr="00F0178F">
        <w:t xml:space="preserve"> for instant feedback for the microscopist. Infrastructure includes large storage pools, thousands of cores, Xeon phi cards, NVIDIA GPUs and </w:t>
      </w:r>
      <w:proofErr w:type="gramStart"/>
      <w:r w:rsidRPr="00F0178F">
        <w:t>high speed</w:t>
      </w:r>
      <w:proofErr w:type="gramEnd"/>
      <w:r w:rsidRPr="00F0178F">
        <w:t xml:space="preserve"> networking. When the University Park (UP) Titan </w:t>
      </w:r>
      <w:proofErr w:type="spellStart"/>
      <w:r w:rsidRPr="00F0178F">
        <w:t>Krios</w:t>
      </w:r>
      <w:proofErr w:type="spellEnd"/>
      <w:r w:rsidRPr="00F0178F">
        <w:t xml:space="preserve"> was purchased, the underlying support infrastructure was built from the ground up from </w:t>
      </w:r>
      <w:proofErr w:type="gramStart"/>
      <w:r w:rsidRPr="00F0178F">
        <w:t>high speed</w:t>
      </w:r>
      <w:proofErr w:type="gramEnd"/>
      <w:r w:rsidRPr="00F0178F">
        <w:t xml:space="preserve"> networking to transfer data off of the microscope to the compute resources used to process the data. Since researchers will need to get access to the micrographs from their labs, a high speed (10Gb/s) network was put into place between buildings. Data from the </w:t>
      </w:r>
      <w:proofErr w:type="spellStart"/>
      <w:r w:rsidRPr="00F0178F">
        <w:t>Krios</w:t>
      </w:r>
      <w:proofErr w:type="spellEnd"/>
      <w:r w:rsidRPr="00F0178F">
        <w:t xml:space="preserve"> moves locally at 10Gbps to high performance storage (70 terabytes) serving local GPU-equipped workstations (initial visualization and grid selection), central CPU and GPU compute high performance clusters configured for large data analysis. There is currently 20PB of total storage with 12 PB of archive in spinning disk and tape drives plus 8PB of active on flash based SSDs. There are parallel computer resources at College of Medicine via a 100Gbps link to UP. All primary and processed data will be centrally archived on both intermediate and long term storage. Data from analyses performed centrally will flow back to local GPU-equipped workstations for further visualization and post-processing (Figure 1).</w:t>
      </w:r>
    </w:p>
    <w:p w14:paraId="0E27B00A" w14:textId="77777777" w:rsidR="0005789C" w:rsidRPr="00F0178F" w:rsidRDefault="0005789C" w:rsidP="00095746">
      <w:pPr>
        <w:autoSpaceDE w:val="0"/>
        <w:autoSpaceDN w:val="0"/>
        <w:adjustRightInd w:val="0"/>
        <w:spacing w:line="240" w:lineRule="auto"/>
        <w:contextualSpacing/>
        <w:rPr>
          <w:rFonts w:cs="Arial"/>
          <w:b/>
        </w:rPr>
      </w:pPr>
    </w:p>
    <w:p w14:paraId="60061E4C" w14:textId="77777777" w:rsidR="0005789C" w:rsidRPr="00F0178F" w:rsidRDefault="00AD17F9" w:rsidP="00095746">
      <w:pPr>
        <w:autoSpaceDE w:val="0"/>
        <w:autoSpaceDN w:val="0"/>
        <w:adjustRightInd w:val="0"/>
        <w:spacing w:line="240" w:lineRule="auto"/>
        <w:contextualSpacing/>
      </w:pPr>
      <w:r w:rsidRPr="00F0178F">
        <w:rPr>
          <w:noProof/>
        </w:rPr>
        <w:drawing>
          <wp:inline distT="0" distB="0" distL="0" distR="0" wp14:anchorId="6B557566" wp14:editId="07777777">
            <wp:extent cx="3990975" cy="1990725"/>
            <wp:effectExtent l="0" t="0" r="0" b="0"/>
            <wp:docPr id="1" name="Picture 1" descr="Screen Shot 2018-01-23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1-23 at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1990725"/>
                    </a:xfrm>
                    <a:prstGeom prst="rect">
                      <a:avLst/>
                    </a:prstGeom>
                    <a:noFill/>
                    <a:ln>
                      <a:noFill/>
                    </a:ln>
                  </pic:spPr>
                </pic:pic>
              </a:graphicData>
            </a:graphic>
          </wp:inline>
        </w:drawing>
      </w:r>
    </w:p>
    <w:p w14:paraId="44EAFD9C" w14:textId="77777777" w:rsidR="0005789C" w:rsidRPr="00F0178F" w:rsidRDefault="0005789C" w:rsidP="00095746">
      <w:pPr>
        <w:autoSpaceDE w:val="0"/>
        <w:autoSpaceDN w:val="0"/>
        <w:adjustRightInd w:val="0"/>
        <w:spacing w:line="240" w:lineRule="auto"/>
        <w:contextualSpacing/>
      </w:pPr>
    </w:p>
    <w:p w14:paraId="39E1D66F" w14:textId="77777777" w:rsidR="0005789C" w:rsidRDefault="0005789C" w:rsidP="00095746">
      <w:pPr>
        <w:autoSpaceDE w:val="0"/>
        <w:autoSpaceDN w:val="0"/>
        <w:adjustRightInd w:val="0"/>
        <w:spacing w:line="240" w:lineRule="auto"/>
        <w:contextualSpacing/>
      </w:pPr>
      <w:r w:rsidRPr="00F0178F">
        <w:rPr>
          <w:sz w:val="20"/>
          <w:szCs w:val="20"/>
        </w:rPr>
        <w:t xml:space="preserve">Figure 1. Chart depicts data movement from </w:t>
      </w:r>
      <w:proofErr w:type="spellStart"/>
      <w:r w:rsidRPr="00F0178F">
        <w:rPr>
          <w:sz w:val="20"/>
          <w:szCs w:val="20"/>
        </w:rPr>
        <w:t>Krios</w:t>
      </w:r>
      <w:proofErr w:type="spellEnd"/>
      <w:r w:rsidRPr="00F0178F">
        <w:rPr>
          <w:sz w:val="20"/>
          <w:szCs w:val="20"/>
        </w:rPr>
        <w:t xml:space="preserve"> to researchers for computation and storage</w:t>
      </w:r>
    </w:p>
    <w:p w14:paraId="4B94D5A5" w14:textId="77777777" w:rsidR="0005789C" w:rsidRDefault="0005789C" w:rsidP="00095746">
      <w:pPr>
        <w:autoSpaceDE w:val="0"/>
        <w:autoSpaceDN w:val="0"/>
        <w:adjustRightInd w:val="0"/>
        <w:spacing w:line="240" w:lineRule="auto"/>
        <w:contextualSpacing/>
      </w:pPr>
    </w:p>
    <w:p w14:paraId="3DEEC669" w14:textId="77777777" w:rsidR="0005789C" w:rsidRDefault="0005789C" w:rsidP="00095746">
      <w:pPr>
        <w:autoSpaceDE w:val="0"/>
        <w:autoSpaceDN w:val="0"/>
        <w:adjustRightInd w:val="0"/>
        <w:spacing w:line="240" w:lineRule="auto"/>
        <w:contextualSpacing/>
      </w:pPr>
    </w:p>
    <w:p w14:paraId="3656B9AB" w14:textId="77777777" w:rsidR="0005789C" w:rsidRDefault="0005789C" w:rsidP="00095746">
      <w:pPr>
        <w:autoSpaceDE w:val="0"/>
        <w:autoSpaceDN w:val="0"/>
        <w:adjustRightInd w:val="0"/>
        <w:spacing w:line="240" w:lineRule="auto"/>
        <w:contextualSpacing/>
      </w:pPr>
    </w:p>
    <w:p w14:paraId="45FB0818" w14:textId="77777777" w:rsidR="0005789C" w:rsidRDefault="0005789C" w:rsidP="00095746">
      <w:pPr>
        <w:autoSpaceDE w:val="0"/>
        <w:autoSpaceDN w:val="0"/>
        <w:adjustRightInd w:val="0"/>
        <w:spacing w:line="240" w:lineRule="auto"/>
        <w:contextualSpacing/>
      </w:pPr>
    </w:p>
    <w:p w14:paraId="049F31CB" w14:textId="77777777" w:rsidR="0005789C" w:rsidRDefault="0005789C" w:rsidP="00095746">
      <w:pPr>
        <w:autoSpaceDE w:val="0"/>
        <w:autoSpaceDN w:val="0"/>
        <w:adjustRightInd w:val="0"/>
        <w:spacing w:line="240" w:lineRule="auto"/>
        <w:contextualSpacing/>
      </w:pPr>
    </w:p>
    <w:p w14:paraId="53128261" w14:textId="77777777" w:rsidR="0005789C" w:rsidRDefault="0005789C" w:rsidP="00095746">
      <w:pPr>
        <w:autoSpaceDE w:val="0"/>
        <w:autoSpaceDN w:val="0"/>
        <w:adjustRightInd w:val="0"/>
        <w:spacing w:line="240" w:lineRule="auto"/>
        <w:contextualSpacing/>
      </w:pPr>
    </w:p>
    <w:p w14:paraId="62486C05" w14:textId="77777777" w:rsidR="0005789C" w:rsidRDefault="0005789C" w:rsidP="00095746">
      <w:pPr>
        <w:autoSpaceDE w:val="0"/>
        <w:autoSpaceDN w:val="0"/>
        <w:adjustRightInd w:val="0"/>
        <w:spacing w:line="240" w:lineRule="auto"/>
        <w:contextualSpacing/>
      </w:pPr>
    </w:p>
    <w:p w14:paraId="4101652C" w14:textId="77777777" w:rsidR="0005789C" w:rsidRDefault="0005789C" w:rsidP="00095746">
      <w:pPr>
        <w:autoSpaceDE w:val="0"/>
        <w:autoSpaceDN w:val="0"/>
        <w:adjustRightInd w:val="0"/>
        <w:spacing w:line="240" w:lineRule="auto"/>
        <w:contextualSpacing/>
      </w:pPr>
    </w:p>
    <w:p w14:paraId="4B99056E" w14:textId="77777777" w:rsidR="0005789C" w:rsidRDefault="0005789C" w:rsidP="00095746">
      <w:pPr>
        <w:autoSpaceDE w:val="0"/>
        <w:autoSpaceDN w:val="0"/>
        <w:adjustRightInd w:val="0"/>
        <w:spacing w:line="240" w:lineRule="auto"/>
        <w:contextualSpacing/>
      </w:pPr>
    </w:p>
    <w:p w14:paraId="1299C43A" w14:textId="77777777" w:rsidR="0005789C" w:rsidRDefault="0005789C" w:rsidP="00095746">
      <w:pPr>
        <w:autoSpaceDE w:val="0"/>
        <w:autoSpaceDN w:val="0"/>
        <w:adjustRightInd w:val="0"/>
        <w:spacing w:line="240" w:lineRule="auto"/>
        <w:contextualSpacing/>
      </w:pPr>
    </w:p>
    <w:p w14:paraId="4DDBEF00" w14:textId="77777777" w:rsidR="0005789C" w:rsidRDefault="0005789C" w:rsidP="00095746">
      <w:pPr>
        <w:autoSpaceDE w:val="0"/>
        <w:autoSpaceDN w:val="0"/>
        <w:adjustRightInd w:val="0"/>
        <w:spacing w:line="240" w:lineRule="auto"/>
        <w:contextualSpacing/>
      </w:pPr>
    </w:p>
    <w:p w14:paraId="3461D779" w14:textId="77777777" w:rsidR="0005789C" w:rsidRDefault="0005789C" w:rsidP="00095746">
      <w:pPr>
        <w:autoSpaceDE w:val="0"/>
        <w:autoSpaceDN w:val="0"/>
        <w:adjustRightInd w:val="0"/>
        <w:spacing w:line="240" w:lineRule="auto"/>
        <w:contextualSpacing/>
      </w:pPr>
    </w:p>
    <w:p w14:paraId="3CF2D8B6" w14:textId="77777777" w:rsidR="0005789C" w:rsidRDefault="0005789C" w:rsidP="00095746">
      <w:pPr>
        <w:autoSpaceDE w:val="0"/>
        <w:autoSpaceDN w:val="0"/>
        <w:adjustRightInd w:val="0"/>
        <w:spacing w:line="240" w:lineRule="auto"/>
        <w:contextualSpacing/>
      </w:pPr>
    </w:p>
    <w:p w14:paraId="0FB78278" w14:textId="77777777" w:rsidR="0005789C" w:rsidRDefault="0005789C" w:rsidP="00095746">
      <w:pPr>
        <w:autoSpaceDE w:val="0"/>
        <w:autoSpaceDN w:val="0"/>
        <w:adjustRightInd w:val="0"/>
        <w:spacing w:line="240" w:lineRule="auto"/>
        <w:contextualSpacing/>
      </w:pPr>
    </w:p>
    <w:p w14:paraId="1FC39945" w14:textId="77777777" w:rsidR="0005789C" w:rsidRDefault="0005789C" w:rsidP="00095746">
      <w:pPr>
        <w:autoSpaceDE w:val="0"/>
        <w:autoSpaceDN w:val="0"/>
        <w:adjustRightInd w:val="0"/>
        <w:spacing w:line="240" w:lineRule="auto"/>
        <w:contextualSpacing/>
      </w:pPr>
    </w:p>
    <w:p w14:paraId="26344D13" w14:textId="77777777" w:rsidR="00CD524A" w:rsidRPr="00A81125" w:rsidRDefault="00DC507B" w:rsidP="00095746">
      <w:pPr>
        <w:autoSpaceDE w:val="0"/>
        <w:autoSpaceDN w:val="0"/>
        <w:adjustRightInd w:val="0"/>
        <w:spacing w:line="240" w:lineRule="auto"/>
        <w:contextualSpacing/>
        <w:rPr>
          <w:rFonts w:cs="Arial"/>
        </w:rPr>
      </w:pPr>
      <w:r>
        <w:rPr>
          <w:rFonts w:cs="Arial"/>
          <w:b/>
        </w:rPr>
        <w:t xml:space="preserve">High Field </w:t>
      </w:r>
      <w:r w:rsidR="00CD524A" w:rsidRPr="00A81125">
        <w:rPr>
          <w:rFonts w:cs="Arial"/>
          <w:b/>
        </w:rPr>
        <w:t>Magnetic Resonance Imaging Center:</w:t>
      </w:r>
      <w:r w:rsidR="00CD524A">
        <w:rPr>
          <w:rFonts w:cs="Arial"/>
        </w:rPr>
        <w:t xml:space="preserve"> </w:t>
      </w:r>
      <w:r w:rsidR="00CD524A" w:rsidRPr="00A81125">
        <w:rPr>
          <w:rFonts w:cs="Arial"/>
        </w:rPr>
        <w:t xml:space="preserve">Offers magnetic resonance imaging, high resolution spectroscopy, diffuse optical tomography, RF coil fabrication and electrical characterization. Available equipment includes: </w:t>
      </w:r>
      <w:r w:rsidR="00CD524A">
        <w:rPr>
          <w:rFonts w:cs="Arial"/>
        </w:rPr>
        <w:t xml:space="preserve"> </w:t>
      </w:r>
      <w:r w:rsidR="00CD524A" w:rsidRPr="00A81125">
        <w:rPr>
          <w:rFonts w:cs="Arial"/>
        </w:rPr>
        <w:t xml:space="preserve">2 magnetic resonance systems; a multi-source, multi-detector near infrared spectrophotometer; network analyzers; oscilloscopes; frequency synthesizers; and software. Instrumentation </w:t>
      </w:r>
      <w:proofErr w:type="gramStart"/>
      <w:r w:rsidR="00CD524A" w:rsidRPr="00A81125">
        <w:rPr>
          <w:rFonts w:cs="Arial"/>
        </w:rPr>
        <w:t>includes:</w:t>
      </w:r>
      <w:proofErr w:type="gramEnd"/>
      <w:r w:rsidR="00CD524A">
        <w:rPr>
          <w:rFonts w:cs="Arial"/>
        </w:rPr>
        <w:t xml:space="preserve"> </w:t>
      </w:r>
      <w:r w:rsidR="00CD524A" w:rsidRPr="00A81125">
        <w:rPr>
          <w:rFonts w:cs="Arial"/>
        </w:rPr>
        <w:t xml:space="preserve"> Varian 14.1 Tesla</w:t>
      </w:r>
      <w:r w:rsidR="00CD524A">
        <w:rPr>
          <w:rFonts w:cs="Arial"/>
        </w:rPr>
        <w:t xml:space="preserve"> vertical</w:t>
      </w:r>
      <w:r w:rsidR="00CD524A" w:rsidRPr="00A81125">
        <w:rPr>
          <w:rFonts w:cs="Arial"/>
        </w:rPr>
        <w:t>, Varian 7 Tesla</w:t>
      </w:r>
      <w:r w:rsidR="00A915F0">
        <w:rPr>
          <w:rFonts w:cs="Arial"/>
        </w:rPr>
        <w:t xml:space="preserve"> (upgraded to Bruker </w:t>
      </w:r>
      <w:proofErr w:type="spellStart"/>
      <w:r w:rsidR="00A915F0">
        <w:rPr>
          <w:rFonts w:cs="Arial"/>
        </w:rPr>
        <w:t>Avance</w:t>
      </w:r>
      <w:proofErr w:type="spellEnd"/>
      <w:r w:rsidR="00A915F0">
        <w:rPr>
          <w:rFonts w:cs="Arial"/>
        </w:rPr>
        <w:t xml:space="preserve"> AVIII HD)</w:t>
      </w:r>
      <w:r w:rsidR="00CD524A">
        <w:rPr>
          <w:rFonts w:cs="Arial"/>
        </w:rPr>
        <w:t xml:space="preserve"> horizontal MR imagers</w:t>
      </w:r>
      <w:r w:rsidR="00CD524A" w:rsidRPr="00A81125">
        <w:rPr>
          <w:rFonts w:cs="Arial"/>
        </w:rPr>
        <w:t>.</w:t>
      </w:r>
    </w:p>
    <w:p w14:paraId="0562CB0E" w14:textId="77777777" w:rsidR="00CD524A" w:rsidRPr="00A81125" w:rsidRDefault="00CD524A" w:rsidP="00CD524A">
      <w:pPr>
        <w:autoSpaceDE w:val="0"/>
        <w:autoSpaceDN w:val="0"/>
        <w:adjustRightInd w:val="0"/>
        <w:spacing w:before="0" w:after="0" w:afterAutospacing="0" w:line="240" w:lineRule="auto"/>
        <w:jc w:val="both"/>
        <w:rPr>
          <w:rFonts w:cs="Arial"/>
        </w:rPr>
      </w:pPr>
    </w:p>
    <w:p w14:paraId="34CE0A41" w14:textId="77777777" w:rsidR="00811B7E" w:rsidRDefault="00811B7E" w:rsidP="00CD524A">
      <w:pPr>
        <w:autoSpaceDE w:val="0"/>
        <w:autoSpaceDN w:val="0"/>
        <w:adjustRightInd w:val="0"/>
        <w:spacing w:line="240" w:lineRule="auto"/>
        <w:contextualSpacing/>
        <w:rPr>
          <w:b/>
          <w:color w:val="000000"/>
        </w:rPr>
      </w:pPr>
    </w:p>
    <w:p w14:paraId="62EBF3C5" w14:textId="0839027B" w:rsidR="00CD524A" w:rsidRPr="000E4568" w:rsidRDefault="00CD524A" w:rsidP="000E4568">
      <w:pPr>
        <w:autoSpaceDE w:val="0"/>
        <w:autoSpaceDN w:val="0"/>
        <w:adjustRightInd w:val="0"/>
        <w:spacing w:line="240" w:lineRule="auto"/>
        <w:contextualSpacing/>
        <w:rPr>
          <w:rFonts w:cs="Arial"/>
        </w:rPr>
      </w:pPr>
      <w:r w:rsidRPr="007B223C">
        <w:rPr>
          <w:b/>
          <w:color w:val="000000"/>
        </w:rPr>
        <w:t>X-ray Crystallography and Automated Biological Calorimetry Core Facilities</w:t>
      </w:r>
      <w:r w:rsidRPr="009F0C0D">
        <w:rPr>
          <w:i/>
          <w:color w:val="000000"/>
        </w:rPr>
        <w:t>:</w:t>
      </w:r>
      <w:r w:rsidRPr="009F0C0D">
        <w:rPr>
          <w:color w:val="000000"/>
        </w:rPr>
        <w:t xml:space="preserve"> </w:t>
      </w:r>
      <w:r w:rsidR="000E4568" w:rsidRPr="000E4568">
        <w:rPr>
          <w:rFonts w:cs="Arial"/>
        </w:rPr>
        <w:t xml:space="preserve">NIH funded X-ray system (1S10RR023439-01, Yennawar, PI 2007, 1S10OD028589-01, Yennawar, PI 2020) include a Rigaku Micromax 007 X-ray generator equipped with a modern </w:t>
      </w:r>
      <w:proofErr w:type="spellStart"/>
      <w:r w:rsidR="000E4568" w:rsidRPr="000E4568">
        <w:rPr>
          <w:rFonts w:cs="Arial"/>
        </w:rPr>
        <w:t>HyPix</w:t>
      </w:r>
      <w:proofErr w:type="spellEnd"/>
      <w:r w:rsidR="000E4568" w:rsidRPr="000E4568">
        <w:rPr>
          <w:rFonts w:cs="Arial"/>
        </w:rPr>
        <w:t xml:space="preserve">-Arc 150° Curved HPC Detector with a Universal Kappa 4-Axis Goniometer at the right port for single crystal X-ray diffraction data and a BioSAXS-2000Nano for small angle X-ray Scattering studies on the left port. The right port is configured with a </w:t>
      </w:r>
      <w:proofErr w:type="spellStart"/>
      <w:r w:rsidR="000E4568" w:rsidRPr="000E4568">
        <w:rPr>
          <w:rFonts w:cs="Arial"/>
        </w:rPr>
        <w:t>VariMax</w:t>
      </w:r>
      <w:proofErr w:type="spellEnd"/>
      <w:r w:rsidR="000E4568" w:rsidRPr="000E4568">
        <w:rPr>
          <w:rFonts w:cs="Arial"/>
        </w:rPr>
        <w:t xml:space="preserve">-VHF high flux optics and Oxford </w:t>
      </w:r>
      <w:proofErr w:type="spellStart"/>
      <w:r w:rsidR="000E4568" w:rsidRPr="000E4568">
        <w:rPr>
          <w:rFonts w:cs="Arial"/>
        </w:rPr>
        <w:t>Cryosystems</w:t>
      </w:r>
      <w:proofErr w:type="spellEnd"/>
      <w:r w:rsidR="000E4568" w:rsidRPr="000E4568">
        <w:rPr>
          <w:rFonts w:cs="Arial"/>
        </w:rPr>
        <w:t xml:space="preserve"> COBRA for cryo-cooling the crystals. The </w:t>
      </w:r>
      <w:proofErr w:type="spellStart"/>
      <w:r w:rsidR="000E4568" w:rsidRPr="000E4568">
        <w:rPr>
          <w:rFonts w:cs="Arial"/>
        </w:rPr>
        <w:t>BioSAXS</w:t>
      </w:r>
      <w:proofErr w:type="spellEnd"/>
      <w:r w:rsidR="000E4568" w:rsidRPr="000E4568">
        <w:rPr>
          <w:rFonts w:cs="Arial"/>
        </w:rPr>
        <w:t xml:space="preserve"> port has a variable temperature, an </w:t>
      </w:r>
      <w:proofErr w:type="spellStart"/>
      <w:r w:rsidR="000E4568" w:rsidRPr="000E4568">
        <w:rPr>
          <w:rFonts w:cs="Arial"/>
        </w:rPr>
        <w:t>OptiSAXS</w:t>
      </w:r>
      <w:proofErr w:type="spellEnd"/>
      <w:r w:rsidR="000E4568" w:rsidRPr="000E4568">
        <w:rPr>
          <w:rFonts w:cs="Arial"/>
        </w:rPr>
        <w:t xml:space="preserve"> Confocal Max-Flux (CMF) SAXS Optic and an Automatic Sample Changer for high-throughput SAXS experiments. The core facility also houses a </w:t>
      </w:r>
      <w:proofErr w:type="spellStart"/>
      <w:r w:rsidR="000E4568" w:rsidRPr="000E4568">
        <w:rPr>
          <w:rFonts w:cs="Arial"/>
        </w:rPr>
        <w:t>Viscotek</w:t>
      </w:r>
      <w:proofErr w:type="spellEnd"/>
      <w:r w:rsidR="000E4568" w:rsidRPr="000E4568">
        <w:rPr>
          <w:rFonts w:cs="Arial"/>
        </w:rPr>
        <w:t xml:space="preserve"> 802 Dynamic Light Scattering instrument, an Art Robbins Instruments Phoenix protein crystallization robot, </w:t>
      </w:r>
      <w:proofErr w:type="spellStart"/>
      <w:r w:rsidR="000E4568" w:rsidRPr="000E4568">
        <w:rPr>
          <w:rFonts w:cs="Arial"/>
        </w:rPr>
        <w:t>Formulatrix</w:t>
      </w:r>
      <w:proofErr w:type="spellEnd"/>
      <w:r w:rsidR="000E4568" w:rsidRPr="000E4568">
        <w:rPr>
          <w:rFonts w:cs="Arial"/>
        </w:rPr>
        <w:t xml:space="preserve"> Rock Imager 182 with brightfield and UV microscope, Jasco J-1500 high performance Circular Dichroism spectrometer, Nikon SMZ18 stereo microscope with digital camera and a </w:t>
      </w:r>
      <w:proofErr w:type="spellStart"/>
      <w:r w:rsidR="000E4568" w:rsidRPr="000E4568">
        <w:rPr>
          <w:rFonts w:cs="Arial"/>
        </w:rPr>
        <w:t>Jansi</w:t>
      </w:r>
      <w:proofErr w:type="spellEnd"/>
      <w:r w:rsidR="000E4568" w:rsidRPr="000E4568">
        <w:rPr>
          <w:rFonts w:cs="Arial"/>
        </w:rPr>
        <w:t xml:space="preserve"> UV microscope. Also, two pieces of calorimetry instrumentation from </w:t>
      </w:r>
      <w:proofErr w:type="gramStart"/>
      <w:r w:rsidR="000E4568" w:rsidRPr="000E4568">
        <w:rPr>
          <w:rFonts w:cs="Arial"/>
        </w:rPr>
        <w:t>a</w:t>
      </w:r>
      <w:proofErr w:type="gramEnd"/>
      <w:r w:rsidR="000E4568" w:rsidRPr="000E4568">
        <w:rPr>
          <w:rFonts w:cs="Arial"/>
        </w:rPr>
        <w:t xml:space="preserve"> NSF-MRI award (DBI-0922974 to Bevilacqua, PI 2009) went into this facility, an automated isothermal titration system (AutoITC2000) and a high throughput differential scanning calorimeter (</w:t>
      </w:r>
      <w:proofErr w:type="spellStart"/>
      <w:r w:rsidR="000E4568" w:rsidRPr="000E4568">
        <w:rPr>
          <w:rFonts w:cs="Arial"/>
        </w:rPr>
        <w:t>AutoCAP</w:t>
      </w:r>
      <w:proofErr w:type="spellEnd"/>
      <w:r w:rsidR="000E4568" w:rsidRPr="000E4568">
        <w:rPr>
          <w:rFonts w:cs="Arial"/>
        </w:rPr>
        <w:t>-DSC). A further NIH SIG augmented these with a TA Instruments Affinity ITC system (NIH 1S10OD025145-01, Yennawar, PI 2018). The recently successful NIH grant (1S10OD030490-01, Yennawar, PI 2021) is providing the funds to purchase our newest state-of-the-art protein characterization equipment, an inline Wyatt SEC-MALS-DLS system.</w:t>
      </w:r>
    </w:p>
    <w:p w14:paraId="0E20E754" w14:textId="77777777" w:rsidR="000E4568" w:rsidRPr="00A81125" w:rsidRDefault="000E4568" w:rsidP="000E4568">
      <w:pPr>
        <w:autoSpaceDE w:val="0"/>
        <w:autoSpaceDN w:val="0"/>
        <w:adjustRightInd w:val="0"/>
        <w:spacing w:line="240" w:lineRule="auto"/>
        <w:contextualSpacing/>
        <w:rPr>
          <w:rFonts w:cs="Arial"/>
        </w:rPr>
      </w:pPr>
    </w:p>
    <w:p w14:paraId="4FE2EB42" w14:textId="77777777" w:rsidR="00CD524A" w:rsidRDefault="00BD415C" w:rsidP="00CD524A">
      <w:pPr>
        <w:autoSpaceDE w:val="0"/>
        <w:autoSpaceDN w:val="0"/>
        <w:adjustRightInd w:val="0"/>
        <w:spacing w:before="0" w:after="0" w:afterAutospacing="0" w:line="240" w:lineRule="auto"/>
        <w:jc w:val="both"/>
        <w:rPr>
          <w:rFonts w:cs="Arial"/>
        </w:rPr>
      </w:pPr>
      <w:r w:rsidRPr="00BD415C">
        <w:rPr>
          <w:rFonts w:cs="Arial"/>
          <w:b/>
        </w:rPr>
        <w:t>Transgenic Mouse Facility:</w:t>
      </w:r>
      <w:r>
        <w:rPr>
          <w:rFonts w:cs="Arial"/>
        </w:rPr>
        <w:t xml:space="preserve"> </w:t>
      </w:r>
      <w:r>
        <w:t>Produces transgenic and gene-targeted (knockout) mice for the Penn State research community. Microinjection suite equipped with an Olympus IX-70 microscope equipped with Hoffman Contrast Optics, which also</w:t>
      </w:r>
      <w:r w:rsidRPr="00BD415C">
        <w:t xml:space="preserve"> </w:t>
      </w:r>
      <w:r>
        <w:t xml:space="preserve">contains two surgical scopes for embryo collection and transplantation. This facility is accredited with the </w:t>
      </w:r>
      <w:r w:rsidRPr="00BD415C">
        <w:t>Association for the Assessment and Accreditation of Laboratory Animal Care, International (AAALAC)</w:t>
      </w:r>
      <w:r>
        <w:t xml:space="preserve">, and is overseen by a federally mandated </w:t>
      </w:r>
      <w:r w:rsidRPr="00BD415C">
        <w:t>Institutional Animal Care and Use Committee (IACUC)</w:t>
      </w:r>
      <w:r>
        <w:t xml:space="preserve"> established through Penn State's </w:t>
      </w:r>
      <w:r w:rsidRPr="00BD415C">
        <w:t>Office for Research Protections</w:t>
      </w:r>
      <w:r>
        <w:t>.</w:t>
      </w:r>
    </w:p>
    <w:p w14:paraId="6D98A12B" w14:textId="77777777" w:rsidR="00CD524A" w:rsidRDefault="00CD524A" w:rsidP="00CD524A">
      <w:pPr>
        <w:autoSpaceDE w:val="0"/>
        <w:autoSpaceDN w:val="0"/>
        <w:adjustRightInd w:val="0"/>
        <w:spacing w:before="0" w:after="0" w:afterAutospacing="0" w:line="240" w:lineRule="auto"/>
        <w:jc w:val="both"/>
        <w:rPr>
          <w:rFonts w:cs="Arial"/>
        </w:rPr>
      </w:pPr>
    </w:p>
    <w:p w14:paraId="2946DB82" w14:textId="77777777" w:rsidR="00EF2F77" w:rsidRDefault="00EF2F77"/>
    <w:sectPr w:rsidR="00EF2F77" w:rsidSect="00CD52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26E1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4A"/>
    <w:rsid w:val="0005789C"/>
    <w:rsid w:val="00077266"/>
    <w:rsid w:val="000776F2"/>
    <w:rsid w:val="00095746"/>
    <w:rsid w:val="000C372E"/>
    <w:rsid w:val="000E4568"/>
    <w:rsid w:val="00116899"/>
    <w:rsid w:val="00133911"/>
    <w:rsid w:val="00157422"/>
    <w:rsid w:val="001B2470"/>
    <w:rsid w:val="00290214"/>
    <w:rsid w:val="00303542"/>
    <w:rsid w:val="00354006"/>
    <w:rsid w:val="00357F7D"/>
    <w:rsid w:val="00407DAC"/>
    <w:rsid w:val="0044456D"/>
    <w:rsid w:val="0046432B"/>
    <w:rsid w:val="0049641E"/>
    <w:rsid w:val="00515287"/>
    <w:rsid w:val="00564A75"/>
    <w:rsid w:val="005C3560"/>
    <w:rsid w:val="00601896"/>
    <w:rsid w:val="00604626"/>
    <w:rsid w:val="006642D8"/>
    <w:rsid w:val="0068103C"/>
    <w:rsid w:val="00692A5D"/>
    <w:rsid w:val="006F4FD0"/>
    <w:rsid w:val="007004B0"/>
    <w:rsid w:val="00715692"/>
    <w:rsid w:val="00761A4B"/>
    <w:rsid w:val="00811B7E"/>
    <w:rsid w:val="008A1720"/>
    <w:rsid w:val="0094471C"/>
    <w:rsid w:val="00987E42"/>
    <w:rsid w:val="0099128B"/>
    <w:rsid w:val="009A2C03"/>
    <w:rsid w:val="009B19E3"/>
    <w:rsid w:val="009B21FA"/>
    <w:rsid w:val="00A02937"/>
    <w:rsid w:val="00A2624D"/>
    <w:rsid w:val="00A83473"/>
    <w:rsid w:val="00A915F0"/>
    <w:rsid w:val="00AD17F9"/>
    <w:rsid w:val="00B26109"/>
    <w:rsid w:val="00B61615"/>
    <w:rsid w:val="00B674D3"/>
    <w:rsid w:val="00B67777"/>
    <w:rsid w:val="00BD415C"/>
    <w:rsid w:val="00C529A9"/>
    <w:rsid w:val="00C85FBA"/>
    <w:rsid w:val="00CC6052"/>
    <w:rsid w:val="00CD524A"/>
    <w:rsid w:val="00CE64F7"/>
    <w:rsid w:val="00D02469"/>
    <w:rsid w:val="00D53684"/>
    <w:rsid w:val="00DB7E08"/>
    <w:rsid w:val="00DC05EE"/>
    <w:rsid w:val="00DC507B"/>
    <w:rsid w:val="00DC6CE7"/>
    <w:rsid w:val="00E42699"/>
    <w:rsid w:val="00E855E9"/>
    <w:rsid w:val="00EB038D"/>
    <w:rsid w:val="00ED6DB2"/>
    <w:rsid w:val="00EE31BF"/>
    <w:rsid w:val="00EF2F77"/>
    <w:rsid w:val="00F0178F"/>
    <w:rsid w:val="00F36144"/>
    <w:rsid w:val="00F731C2"/>
    <w:rsid w:val="00FE39B1"/>
    <w:rsid w:val="34F1EB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3F2F3"/>
  <w15:chartTrackingRefBased/>
  <w15:docId w15:val="{E3186C45-915B-4BB5-ABA1-AD90CE5C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24A"/>
    <w:pPr>
      <w:spacing w:before="240" w:after="100" w:afterAutospacing="1"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415C"/>
    <w:rPr>
      <w:color w:val="0000FF"/>
      <w:u w:val="single"/>
    </w:rPr>
  </w:style>
  <w:style w:type="paragraph" w:styleId="NormalWeb">
    <w:name w:val="Normal (Web)"/>
    <w:basedOn w:val="Normal"/>
    <w:rsid w:val="0044456D"/>
    <w:rPr>
      <w:rFonts w:ascii="Times New Roman" w:hAnsi="Times New Roman"/>
      <w:sz w:val="24"/>
      <w:szCs w:val="24"/>
    </w:rPr>
  </w:style>
  <w:style w:type="character" w:customStyle="1" w:styleId="addtitle1">
    <w:name w:val="addtitle1"/>
    <w:basedOn w:val="DefaultParagraphFont"/>
    <w:rsid w:val="000E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5302">
      <w:bodyDiv w:val="1"/>
      <w:marLeft w:val="0"/>
      <w:marRight w:val="0"/>
      <w:marTop w:val="0"/>
      <w:marBottom w:val="0"/>
      <w:divBdr>
        <w:top w:val="none" w:sz="0" w:space="0" w:color="auto"/>
        <w:left w:val="none" w:sz="0" w:space="0" w:color="auto"/>
        <w:bottom w:val="none" w:sz="0" w:space="0" w:color="auto"/>
        <w:right w:val="none" w:sz="0" w:space="0" w:color="auto"/>
      </w:divBdr>
      <w:divsChild>
        <w:div w:id="113984975">
          <w:marLeft w:val="0"/>
          <w:marRight w:val="0"/>
          <w:marTop w:val="0"/>
          <w:marBottom w:val="0"/>
          <w:divBdr>
            <w:top w:val="none" w:sz="0" w:space="0" w:color="auto"/>
            <w:left w:val="none" w:sz="0" w:space="0" w:color="auto"/>
            <w:bottom w:val="none" w:sz="0" w:space="0" w:color="auto"/>
            <w:right w:val="none" w:sz="0" w:space="0" w:color="auto"/>
          </w:divBdr>
        </w:div>
        <w:div w:id="116459798">
          <w:marLeft w:val="0"/>
          <w:marRight w:val="0"/>
          <w:marTop w:val="0"/>
          <w:marBottom w:val="0"/>
          <w:divBdr>
            <w:top w:val="none" w:sz="0" w:space="0" w:color="auto"/>
            <w:left w:val="none" w:sz="0" w:space="0" w:color="auto"/>
            <w:bottom w:val="none" w:sz="0" w:space="0" w:color="auto"/>
            <w:right w:val="none" w:sz="0" w:space="0" w:color="auto"/>
          </w:divBdr>
        </w:div>
        <w:div w:id="190460775">
          <w:marLeft w:val="0"/>
          <w:marRight w:val="0"/>
          <w:marTop w:val="0"/>
          <w:marBottom w:val="0"/>
          <w:divBdr>
            <w:top w:val="none" w:sz="0" w:space="0" w:color="auto"/>
            <w:left w:val="none" w:sz="0" w:space="0" w:color="auto"/>
            <w:bottom w:val="none" w:sz="0" w:space="0" w:color="auto"/>
            <w:right w:val="none" w:sz="0" w:space="0" w:color="auto"/>
          </w:divBdr>
        </w:div>
        <w:div w:id="314455644">
          <w:marLeft w:val="0"/>
          <w:marRight w:val="0"/>
          <w:marTop w:val="0"/>
          <w:marBottom w:val="0"/>
          <w:divBdr>
            <w:top w:val="none" w:sz="0" w:space="0" w:color="auto"/>
            <w:left w:val="none" w:sz="0" w:space="0" w:color="auto"/>
            <w:bottom w:val="none" w:sz="0" w:space="0" w:color="auto"/>
            <w:right w:val="none" w:sz="0" w:space="0" w:color="auto"/>
          </w:divBdr>
        </w:div>
        <w:div w:id="655959583">
          <w:marLeft w:val="0"/>
          <w:marRight w:val="0"/>
          <w:marTop w:val="0"/>
          <w:marBottom w:val="0"/>
          <w:divBdr>
            <w:top w:val="none" w:sz="0" w:space="0" w:color="auto"/>
            <w:left w:val="none" w:sz="0" w:space="0" w:color="auto"/>
            <w:bottom w:val="none" w:sz="0" w:space="0" w:color="auto"/>
            <w:right w:val="none" w:sz="0" w:space="0" w:color="auto"/>
          </w:divBdr>
        </w:div>
        <w:div w:id="787091730">
          <w:marLeft w:val="0"/>
          <w:marRight w:val="0"/>
          <w:marTop w:val="0"/>
          <w:marBottom w:val="0"/>
          <w:divBdr>
            <w:top w:val="none" w:sz="0" w:space="0" w:color="auto"/>
            <w:left w:val="none" w:sz="0" w:space="0" w:color="auto"/>
            <w:bottom w:val="none" w:sz="0" w:space="0" w:color="auto"/>
            <w:right w:val="none" w:sz="0" w:space="0" w:color="auto"/>
          </w:divBdr>
        </w:div>
        <w:div w:id="995189411">
          <w:marLeft w:val="0"/>
          <w:marRight w:val="0"/>
          <w:marTop w:val="0"/>
          <w:marBottom w:val="0"/>
          <w:divBdr>
            <w:top w:val="none" w:sz="0" w:space="0" w:color="auto"/>
            <w:left w:val="none" w:sz="0" w:space="0" w:color="auto"/>
            <w:bottom w:val="none" w:sz="0" w:space="0" w:color="auto"/>
            <w:right w:val="none" w:sz="0" w:space="0" w:color="auto"/>
          </w:divBdr>
        </w:div>
        <w:div w:id="998071985">
          <w:marLeft w:val="0"/>
          <w:marRight w:val="0"/>
          <w:marTop w:val="0"/>
          <w:marBottom w:val="0"/>
          <w:divBdr>
            <w:top w:val="none" w:sz="0" w:space="0" w:color="auto"/>
            <w:left w:val="none" w:sz="0" w:space="0" w:color="auto"/>
            <w:bottom w:val="none" w:sz="0" w:space="0" w:color="auto"/>
            <w:right w:val="none" w:sz="0" w:space="0" w:color="auto"/>
          </w:divBdr>
        </w:div>
        <w:div w:id="1228763559">
          <w:marLeft w:val="0"/>
          <w:marRight w:val="0"/>
          <w:marTop w:val="0"/>
          <w:marBottom w:val="0"/>
          <w:divBdr>
            <w:top w:val="none" w:sz="0" w:space="0" w:color="auto"/>
            <w:left w:val="none" w:sz="0" w:space="0" w:color="auto"/>
            <w:bottom w:val="none" w:sz="0" w:space="0" w:color="auto"/>
            <w:right w:val="none" w:sz="0" w:space="0" w:color="auto"/>
          </w:divBdr>
        </w:div>
        <w:div w:id="1583759038">
          <w:marLeft w:val="0"/>
          <w:marRight w:val="0"/>
          <w:marTop w:val="0"/>
          <w:marBottom w:val="0"/>
          <w:divBdr>
            <w:top w:val="none" w:sz="0" w:space="0" w:color="auto"/>
            <w:left w:val="none" w:sz="0" w:space="0" w:color="auto"/>
            <w:bottom w:val="none" w:sz="0" w:space="0" w:color="auto"/>
            <w:right w:val="none" w:sz="0" w:space="0" w:color="auto"/>
          </w:divBdr>
        </w:div>
        <w:div w:id="1701660295">
          <w:marLeft w:val="0"/>
          <w:marRight w:val="0"/>
          <w:marTop w:val="0"/>
          <w:marBottom w:val="0"/>
          <w:divBdr>
            <w:top w:val="none" w:sz="0" w:space="0" w:color="auto"/>
            <w:left w:val="none" w:sz="0" w:space="0" w:color="auto"/>
            <w:bottom w:val="none" w:sz="0" w:space="0" w:color="auto"/>
            <w:right w:val="none" w:sz="0" w:space="0" w:color="auto"/>
          </w:divBdr>
        </w:div>
        <w:div w:id="1860317236">
          <w:marLeft w:val="0"/>
          <w:marRight w:val="0"/>
          <w:marTop w:val="0"/>
          <w:marBottom w:val="0"/>
          <w:divBdr>
            <w:top w:val="none" w:sz="0" w:space="0" w:color="auto"/>
            <w:left w:val="none" w:sz="0" w:space="0" w:color="auto"/>
            <w:bottom w:val="none" w:sz="0" w:space="0" w:color="auto"/>
            <w:right w:val="none" w:sz="0" w:space="0" w:color="auto"/>
          </w:divBdr>
        </w:div>
      </w:divsChild>
    </w:div>
    <w:div w:id="471404842">
      <w:bodyDiv w:val="1"/>
      <w:marLeft w:val="0"/>
      <w:marRight w:val="0"/>
      <w:marTop w:val="0"/>
      <w:marBottom w:val="0"/>
      <w:divBdr>
        <w:top w:val="none" w:sz="0" w:space="0" w:color="auto"/>
        <w:left w:val="none" w:sz="0" w:space="0" w:color="auto"/>
        <w:bottom w:val="none" w:sz="0" w:space="0" w:color="auto"/>
        <w:right w:val="none" w:sz="0" w:space="0" w:color="auto"/>
      </w:divBdr>
      <w:divsChild>
        <w:div w:id="57214513">
          <w:marLeft w:val="0"/>
          <w:marRight w:val="0"/>
          <w:marTop w:val="0"/>
          <w:marBottom w:val="0"/>
          <w:divBdr>
            <w:top w:val="none" w:sz="0" w:space="0" w:color="auto"/>
            <w:left w:val="none" w:sz="0" w:space="0" w:color="auto"/>
            <w:bottom w:val="none" w:sz="0" w:space="0" w:color="auto"/>
            <w:right w:val="none" w:sz="0" w:space="0" w:color="auto"/>
          </w:divBdr>
        </w:div>
        <w:div w:id="221449891">
          <w:marLeft w:val="0"/>
          <w:marRight w:val="0"/>
          <w:marTop w:val="0"/>
          <w:marBottom w:val="0"/>
          <w:divBdr>
            <w:top w:val="none" w:sz="0" w:space="0" w:color="auto"/>
            <w:left w:val="none" w:sz="0" w:space="0" w:color="auto"/>
            <w:bottom w:val="none" w:sz="0" w:space="0" w:color="auto"/>
            <w:right w:val="none" w:sz="0" w:space="0" w:color="auto"/>
          </w:divBdr>
        </w:div>
        <w:div w:id="407583352">
          <w:marLeft w:val="0"/>
          <w:marRight w:val="0"/>
          <w:marTop w:val="0"/>
          <w:marBottom w:val="0"/>
          <w:divBdr>
            <w:top w:val="none" w:sz="0" w:space="0" w:color="auto"/>
            <w:left w:val="none" w:sz="0" w:space="0" w:color="auto"/>
            <w:bottom w:val="none" w:sz="0" w:space="0" w:color="auto"/>
            <w:right w:val="none" w:sz="0" w:space="0" w:color="auto"/>
          </w:divBdr>
        </w:div>
        <w:div w:id="631595792">
          <w:marLeft w:val="0"/>
          <w:marRight w:val="0"/>
          <w:marTop w:val="0"/>
          <w:marBottom w:val="0"/>
          <w:divBdr>
            <w:top w:val="none" w:sz="0" w:space="0" w:color="auto"/>
            <w:left w:val="none" w:sz="0" w:space="0" w:color="auto"/>
            <w:bottom w:val="none" w:sz="0" w:space="0" w:color="auto"/>
            <w:right w:val="none" w:sz="0" w:space="0" w:color="auto"/>
          </w:divBdr>
        </w:div>
        <w:div w:id="658000459">
          <w:marLeft w:val="0"/>
          <w:marRight w:val="0"/>
          <w:marTop w:val="0"/>
          <w:marBottom w:val="0"/>
          <w:divBdr>
            <w:top w:val="none" w:sz="0" w:space="0" w:color="auto"/>
            <w:left w:val="none" w:sz="0" w:space="0" w:color="auto"/>
            <w:bottom w:val="none" w:sz="0" w:space="0" w:color="auto"/>
            <w:right w:val="none" w:sz="0" w:space="0" w:color="auto"/>
          </w:divBdr>
        </w:div>
        <w:div w:id="727413463">
          <w:marLeft w:val="0"/>
          <w:marRight w:val="0"/>
          <w:marTop w:val="0"/>
          <w:marBottom w:val="0"/>
          <w:divBdr>
            <w:top w:val="none" w:sz="0" w:space="0" w:color="auto"/>
            <w:left w:val="none" w:sz="0" w:space="0" w:color="auto"/>
            <w:bottom w:val="none" w:sz="0" w:space="0" w:color="auto"/>
            <w:right w:val="none" w:sz="0" w:space="0" w:color="auto"/>
          </w:divBdr>
        </w:div>
        <w:div w:id="740296777">
          <w:marLeft w:val="0"/>
          <w:marRight w:val="0"/>
          <w:marTop w:val="0"/>
          <w:marBottom w:val="0"/>
          <w:divBdr>
            <w:top w:val="none" w:sz="0" w:space="0" w:color="auto"/>
            <w:left w:val="none" w:sz="0" w:space="0" w:color="auto"/>
            <w:bottom w:val="none" w:sz="0" w:space="0" w:color="auto"/>
            <w:right w:val="none" w:sz="0" w:space="0" w:color="auto"/>
          </w:divBdr>
        </w:div>
        <w:div w:id="843520163">
          <w:marLeft w:val="0"/>
          <w:marRight w:val="0"/>
          <w:marTop w:val="0"/>
          <w:marBottom w:val="0"/>
          <w:divBdr>
            <w:top w:val="none" w:sz="0" w:space="0" w:color="auto"/>
            <w:left w:val="none" w:sz="0" w:space="0" w:color="auto"/>
            <w:bottom w:val="none" w:sz="0" w:space="0" w:color="auto"/>
            <w:right w:val="none" w:sz="0" w:space="0" w:color="auto"/>
          </w:divBdr>
        </w:div>
        <w:div w:id="1001470523">
          <w:marLeft w:val="0"/>
          <w:marRight w:val="0"/>
          <w:marTop w:val="0"/>
          <w:marBottom w:val="0"/>
          <w:divBdr>
            <w:top w:val="none" w:sz="0" w:space="0" w:color="auto"/>
            <w:left w:val="none" w:sz="0" w:space="0" w:color="auto"/>
            <w:bottom w:val="none" w:sz="0" w:space="0" w:color="auto"/>
            <w:right w:val="none" w:sz="0" w:space="0" w:color="auto"/>
          </w:divBdr>
        </w:div>
        <w:div w:id="1308362650">
          <w:marLeft w:val="0"/>
          <w:marRight w:val="0"/>
          <w:marTop w:val="0"/>
          <w:marBottom w:val="0"/>
          <w:divBdr>
            <w:top w:val="none" w:sz="0" w:space="0" w:color="auto"/>
            <w:left w:val="none" w:sz="0" w:space="0" w:color="auto"/>
            <w:bottom w:val="none" w:sz="0" w:space="0" w:color="auto"/>
            <w:right w:val="none" w:sz="0" w:space="0" w:color="auto"/>
          </w:divBdr>
        </w:div>
        <w:div w:id="1974368145">
          <w:marLeft w:val="0"/>
          <w:marRight w:val="0"/>
          <w:marTop w:val="0"/>
          <w:marBottom w:val="0"/>
          <w:divBdr>
            <w:top w:val="none" w:sz="0" w:space="0" w:color="auto"/>
            <w:left w:val="none" w:sz="0" w:space="0" w:color="auto"/>
            <w:bottom w:val="none" w:sz="0" w:space="0" w:color="auto"/>
            <w:right w:val="none" w:sz="0" w:space="0" w:color="auto"/>
          </w:divBdr>
        </w:div>
        <w:div w:id="2067533559">
          <w:marLeft w:val="0"/>
          <w:marRight w:val="0"/>
          <w:marTop w:val="0"/>
          <w:marBottom w:val="0"/>
          <w:divBdr>
            <w:top w:val="none" w:sz="0" w:space="0" w:color="auto"/>
            <w:left w:val="none" w:sz="0" w:space="0" w:color="auto"/>
            <w:bottom w:val="none" w:sz="0" w:space="0" w:color="auto"/>
            <w:right w:val="none" w:sz="0" w:space="0" w:color="auto"/>
          </w:divBdr>
        </w:div>
      </w:divsChild>
    </w:div>
    <w:div w:id="567302433">
      <w:bodyDiv w:val="1"/>
      <w:marLeft w:val="0"/>
      <w:marRight w:val="0"/>
      <w:marTop w:val="0"/>
      <w:marBottom w:val="0"/>
      <w:divBdr>
        <w:top w:val="none" w:sz="0" w:space="0" w:color="auto"/>
        <w:left w:val="none" w:sz="0" w:space="0" w:color="auto"/>
        <w:bottom w:val="none" w:sz="0" w:space="0" w:color="auto"/>
        <w:right w:val="none" w:sz="0" w:space="0" w:color="auto"/>
      </w:divBdr>
    </w:div>
    <w:div w:id="1452748582">
      <w:bodyDiv w:val="1"/>
      <w:marLeft w:val="0"/>
      <w:marRight w:val="0"/>
      <w:marTop w:val="0"/>
      <w:marBottom w:val="0"/>
      <w:divBdr>
        <w:top w:val="none" w:sz="0" w:space="0" w:color="auto"/>
        <w:left w:val="none" w:sz="0" w:space="0" w:color="auto"/>
        <w:bottom w:val="none" w:sz="0" w:space="0" w:color="auto"/>
        <w:right w:val="none" w:sz="0" w:space="0" w:color="auto"/>
      </w:divBdr>
    </w:div>
    <w:div w:id="18135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EQUIPMENT</vt:lpstr>
    </vt:vector>
  </TitlesOfParts>
  <Company>The Huck Institutes</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dc:title>
  <dc:subject/>
  <dc:creator>Nigel Deighton</dc:creator>
  <cp:keywords/>
  <dc:description/>
  <cp:lastModifiedBy>Nigel</cp:lastModifiedBy>
  <cp:revision>3</cp:revision>
  <dcterms:created xsi:type="dcterms:W3CDTF">2021-03-30T12:59:00Z</dcterms:created>
  <dcterms:modified xsi:type="dcterms:W3CDTF">2021-03-30T16:44:00Z</dcterms:modified>
</cp:coreProperties>
</file>